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3004" w:rsidRDefault="00F65D15" w:rsidP="00053004">
      <w:pPr>
        <w:spacing w:line="240" w:lineRule="auto"/>
        <w:jc w:val="center"/>
        <w:rPr>
          <w:smallCaps/>
        </w:rPr>
      </w:pPr>
      <w:bookmarkStart w:id="0" w:name="_GoBack"/>
      <w:bookmarkEnd w:id="0"/>
      <w:r w:rsidRPr="00AA4F75">
        <w:rPr>
          <w:smallCaps/>
        </w:rPr>
        <w:t>Cutting through the layers: Alternating perspectives and co-laborative analytic approaches to understanding occupation and its objects</w:t>
      </w:r>
    </w:p>
    <w:p w:rsidR="00053004" w:rsidRPr="00AA4F75" w:rsidRDefault="00053004" w:rsidP="00053004">
      <w:pPr>
        <w:spacing w:line="240" w:lineRule="auto"/>
        <w:rPr>
          <w:smallCaps/>
        </w:rPr>
      </w:pPr>
    </w:p>
    <w:p w:rsidR="00480DAD" w:rsidRPr="00AA4F75" w:rsidRDefault="00F65D15" w:rsidP="003B55D0">
      <w:pPr>
        <w:spacing w:line="480" w:lineRule="auto"/>
      </w:pPr>
      <w:r w:rsidRPr="00AA4F75">
        <w:t xml:space="preserve"> </w:t>
      </w:r>
    </w:p>
    <w:p w:rsidR="001019D4" w:rsidRDefault="00053004" w:rsidP="003B55D0">
      <w:pPr>
        <w:spacing w:line="480" w:lineRule="auto"/>
      </w:pPr>
      <w:r w:rsidRPr="00053004">
        <w:t xml:space="preserve">Special Issue: </w:t>
      </w:r>
      <w:r w:rsidRPr="00053004">
        <w:rPr>
          <w:i/>
        </w:rPr>
        <w:t>Journal of Occupational Science</w:t>
      </w:r>
      <w:r>
        <w:t xml:space="preserve"> (2017). early online access.</w:t>
      </w:r>
    </w:p>
    <w:p w:rsidR="00053004" w:rsidRPr="00053004" w:rsidRDefault="00053004" w:rsidP="003B55D0">
      <w:pPr>
        <w:spacing w:line="480" w:lineRule="auto"/>
      </w:pPr>
    </w:p>
    <w:p w:rsidR="001019D4" w:rsidRPr="00AA4F75" w:rsidRDefault="001019D4" w:rsidP="003B55D0">
      <w:pPr>
        <w:spacing w:line="480" w:lineRule="auto"/>
        <w:rPr>
          <w:b/>
        </w:rPr>
      </w:pPr>
      <w:r w:rsidRPr="00AA4F75">
        <w:rPr>
          <w:b/>
        </w:rPr>
        <w:t>Authors:</w:t>
      </w:r>
    </w:p>
    <w:p w:rsidR="001019D4" w:rsidRPr="00AA4F75" w:rsidRDefault="003271A3" w:rsidP="003B55D0">
      <w:pPr>
        <w:pStyle w:val="NormalWeb"/>
        <w:spacing w:before="0" w:beforeAutospacing="0" w:after="120" w:afterAutospacing="0"/>
        <w:rPr>
          <w:rFonts w:ascii="Arial" w:hAnsi="Arial" w:cs="Arial"/>
          <w:color w:val="000000"/>
          <w:sz w:val="22"/>
          <w:szCs w:val="22"/>
        </w:rPr>
      </w:pPr>
      <w:r w:rsidRPr="00AA4F75">
        <w:rPr>
          <w:rFonts w:ascii="Arial" w:hAnsi="Arial" w:cs="Arial"/>
          <w:color w:val="000000"/>
          <w:sz w:val="22"/>
          <w:szCs w:val="22"/>
        </w:rPr>
        <w:t>1. Julie Sascia Mewes; PhD Candidate</w:t>
      </w:r>
      <w:r w:rsidR="001019D4" w:rsidRPr="00AA4F75">
        <w:rPr>
          <w:rFonts w:ascii="Arial" w:hAnsi="Arial" w:cs="Arial"/>
          <w:color w:val="000000"/>
          <w:sz w:val="22"/>
          <w:szCs w:val="22"/>
        </w:rPr>
        <w:t>, Institute for European Ethnology, Humboldt University Berlin, Mohrenstraße 41, 10117 Berlin, Germany, julie.mewes@hu-berlin.de, +49-17624607747</w:t>
      </w:r>
    </w:p>
    <w:p w:rsidR="001019D4" w:rsidRPr="00AA4F75" w:rsidRDefault="001019D4" w:rsidP="003B55D0">
      <w:pPr>
        <w:pStyle w:val="NormalWeb"/>
        <w:spacing w:before="0" w:beforeAutospacing="0" w:after="120" w:afterAutospacing="0"/>
        <w:rPr>
          <w:rFonts w:ascii="Arial" w:hAnsi="Arial" w:cs="Arial"/>
          <w:color w:val="000000"/>
          <w:sz w:val="22"/>
          <w:szCs w:val="22"/>
        </w:rPr>
      </w:pPr>
      <w:r w:rsidRPr="00AA4F75">
        <w:rPr>
          <w:rFonts w:ascii="Arial" w:hAnsi="Arial" w:cs="Arial"/>
          <w:color w:val="000000"/>
          <w:sz w:val="22"/>
          <w:szCs w:val="22"/>
        </w:rPr>
        <w:t>2. Michelle Elliot; PhD, Lecturer, Division of Occupational Therapy and Art Therapies, Queen Margaret University, Queen Margaret Drive, Edinburgh, United Kingdom, EH21 6UU, melliot@qmu.ac.uk, 0131 474 0000</w:t>
      </w:r>
    </w:p>
    <w:p w:rsidR="001019D4" w:rsidRPr="00AA4F75" w:rsidRDefault="001019D4" w:rsidP="003B55D0">
      <w:pPr>
        <w:pStyle w:val="NormalWeb"/>
        <w:spacing w:before="0" w:beforeAutospacing="0" w:after="120" w:afterAutospacing="0"/>
        <w:rPr>
          <w:rFonts w:ascii="Arial" w:hAnsi="Arial" w:cs="Arial"/>
          <w:color w:val="000000"/>
          <w:sz w:val="22"/>
          <w:szCs w:val="22"/>
        </w:rPr>
      </w:pPr>
      <w:r w:rsidRPr="00AA4F75">
        <w:rPr>
          <w:rFonts w:ascii="Arial" w:hAnsi="Arial" w:cs="Arial"/>
          <w:color w:val="000000"/>
          <w:sz w:val="22"/>
          <w:szCs w:val="22"/>
        </w:rPr>
        <w:t>3. Kim Lee; PhD, Lecturer, Department of Occupational Therapy, UCsyd Esbjerg, Degnevej 16, 6705 Esbjerg Ø, Denmark, klba@ucsyd.dk, +457266 2927</w:t>
      </w:r>
    </w:p>
    <w:p w:rsidR="001019D4" w:rsidRPr="00AA4F75" w:rsidRDefault="001019D4" w:rsidP="003B55D0">
      <w:pPr>
        <w:spacing w:line="480" w:lineRule="auto"/>
      </w:pPr>
    </w:p>
    <w:p w:rsidR="001019D4" w:rsidRPr="00AA4F75" w:rsidRDefault="001019D4" w:rsidP="003B55D0">
      <w:pPr>
        <w:spacing w:line="480" w:lineRule="auto"/>
        <w:rPr>
          <w:b/>
        </w:rPr>
      </w:pPr>
    </w:p>
    <w:p w:rsidR="00480DAD" w:rsidRPr="00AA4F75" w:rsidRDefault="00F65D15" w:rsidP="003B55D0">
      <w:pPr>
        <w:spacing w:line="480" w:lineRule="auto"/>
        <w:rPr>
          <w:b/>
        </w:rPr>
      </w:pPr>
      <w:r w:rsidRPr="00AA4F75">
        <w:rPr>
          <w:b/>
        </w:rPr>
        <w:t>Interests and Support</w:t>
      </w:r>
    </w:p>
    <w:p w:rsidR="00480DAD" w:rsidRPr="00AA4F75" w:rsidRDefault="00F65D15" w:rsidP="0010355D">
      <w:pPr>
        <w:spacing w:line="240" w:lineRule="auto"/>
      </w:pPr>
      <w:r w:rsidRPr="00AA4F75">
        <w:t>Data was gathered with support from a doctoral scholarship by the Hans Böckler Foundation. There are no other conflicts of interest.</w:t>
      </w:r>
    </w:p>
    <w:p w:rsidR="00480DAD" w:rsidRPr="00AA4F75" w:rsidRDefault="00F65D15" w:rsidP="003B55D0">
      <w:pPr>
        <w:spacing w:line="480" w:lineRule="auto"/>
      </w:pPr>
      <w:r w:rsidRPr="00AA4F75">
        <w:t xml:space="preserve"> </w:t>
      </w:r>
    </w:p>
    <w:p w:rsidR="00480DAD" w:rsidRPr="00AA4F75" w:rsidRDefault="00F65D15" w:rsidP="003B55D0">
      <w:pPr>
        <w:spacing w:line="480" w:lineRule="auto"/>
        <w:rPr>
          <w:b/>
        </w:rPr>
      </w:pPr>
      <w:r w:rsidRPr="00AA4F75">
        <w:rPr>
          <w:b/>
        </w:rPr>
        <w:t>Acknowledgements</w:t>
      </w:r>
    </w:p>
    <w:p w:rsidR="00480DAD" w:rsidRPr="00AA4F75" w:rsidRDefault="00F65D15" w:rsidP="0010355D">
      <w:pPr>
        <w:spacing w:line="240" w:lineRule="auto"/>
      </w:pPr>
      <w:r w:rsidRPr="00AA4F75">
        <w:t>This research would have not been possible without the consent and warm welcome given to the ethnographer by all research participants and the financial support from the Hans Böckler Foundation. Special thanks to Prof. Dr. Jörg Niewöhner and Prof. Dr. Silke Dennhardt for their very helpful comments.</w:t>
      </w:r>
    </w:p>
    <w:p w:rsidR="00480DAD" w:rsidRPr="00AA4F75" w:rsidRDefault="00F65D15" w:rsidP="003B55D0">
      <w:pPr>
        <w:spacing w:line="480" w:lineRule="auto"/>
      </w:pPr>
      <w:r w:rsidRPr="00AA4F75">
        <w:t xml:space="preserve"> </w:t>
      </w:r>
    </w:p>
    <w:p w:rsidR="00D03975" w:rsidRPr="00AA4F75" w:rsidRDefault="00D03975" w:rsidP="00D03975">
      <w:pPr>
        <w:spacing w:line="480" w:lineRule="auto"/>
        <w:rPr>
          <w:b/>
        </w:rPr>
      </w:pPr>
      <w:r w:rsidRPr="00AA4F75">
        <w:rPr>
          <w:b/>
        </w:rPr>
        <w:t>Key words</w:t>
      </w:r>
    </w:p>
    <w:p w:rsidR="00D03975" w:rsidRPr="00AA4F75" w:rsidRDefault="00D03975" w:rsidP="00D03975">
      <w:pPr>
        <w:spacing w:line="480" w:lineRule="auto"/>
        <w:rPr>
          <w:b/>
        </w:rPr>
      </w:pPr>
      <w:r w:rsidRPr="00AA4F75">
        <w:t>ethnography, multivocal analysis, sociomateriality, psychiatry, social identity</w:t>
      </w:r>
    </w:p>
    <w:p w:rsidR="00107196" w:rsidRPr="00AA4F75" w:rsidRDefault="00107196" w:rsidP="00D03975">
      <w:pPr>
        <w:spacing w:line="480" w:lineRule="auto"/>
      </w:pPr>
    </w:p>
    <w:p w:rsidR="00F65D15" w:rsidRPr="00AA4F75" w:rsidRDefault="00F65D15" w:rsidP="003B55D0">
      <w:pPr>
        <w:spacing w:line="480" w:lineRule="auto"/>
        <w:rPr>
          <w:b/>
        </w:rPr>
      </w:pPr>
    </w:p>
    <w:p w:rsidR="00F65D15" w:rsidRPr="00AA4F75" w:rsidRDefault="00F65D15" w:rsidP="003B55D0">
      <w:pPr>
        <w:spacing w:line="480" w:lineRule="auto"/>
      </w:pPr>
    </w:p>
    <w:p w:rsidR="00F65D15" w:rsidRPr="00AA4F75" w:rsidRDefault="00F65D15" w:rsidP="003B55D0">
      <w:pPr>
        <w:spacing w:line="480" w:lineRule="auto"/>
        <w:rPr>
          <w:highlight w:val="yellow"/>
        </w:rPr>
      </w:pPr>
    </w:p>
    <w:p w:rsidR="00D03975" w:rsidRDefault="00D03975" w:rsidP="003B55D0">
      <w:pPr>
        <w:spacing w:line="480" w:lineRule="auto"/>
        <w:rPr>
          <w:highlight w:val="yellow"/>
        </w:rPr>
      </w:pPr>
    </w:p>
    <w:p w:rsidR="00216724" w:rsidRPr="00AA4F75" w:rsidRDefault="00216724" w:rsidP="003B55D0">
      <w:pPr>
        <w:spacing w:line="480" w:lineRule="auto"/>
        <w:rPr>
          <w:highlight w:val="yellow"/>
        </w:rPr>
      </w:pPr>
    </w:p>
    <w:p w:rsidR="00480DAD" w:rsidRPr="00AA4F75" w:rsidRDefault="00F65D15" w:rsidP="003B55D0">
      <w:pPr>
        <w:spacing w:line="480" w:lineRule="auto"/>
        <w:rPr>
          <w:b/>
        </w:rPr>
      </w:pPr>
      <w:r w:rsidRPr="00AA4F75">
        <w:rPr>
          <w:b/>
        </w:rPr>
        <w:lastRenderedPageBreak/>
        <w:t>Abstract</w:t>
      </w:r>
    </w:p>
    <w:p w:rsidR="00480DAD" w:rsidRPr="00AA4F75" w:rsidRDefault="0010355D" w:rsidP="003B55D0">
      <w:pPr>
        <w:spacing w:line="480" w:lineRule="auto"/>
        <w:ind w:firstLine="720"/>
      </w:pPr>
      <w:r w:rsidRPr="00AA4F75">
        <w:rPr>
          <w:lang w:val="en-US" w:eastAsia="en-US"/>
        </w:rPr>
        <w:t>In this paper, three qualitative researchers with professional backgrounds in social anthropology, occupational therapy, and occupational science present their methodological and theoretical standpoints and resultant analytical approaches on a single set of ethnographic data – an event occurring in an in-patient psychiatric unit. In doing so they propose benefits to and considerations for a practice-based understanding of occupation. Data analysis and synthesis from interdisciplinary perspectives is a novel approach to the close examination of occupation. The three analyses presented draw from figured worlds, a praxeographic approach to sociomaterial arrangements, and social identity focusing on what happens when the everyday is made through occupation. The paper concludes with discussion of how these approaches, different in their theoretical perspective, disciplinary, and geographical backgrounds, might contradict or complement one another. Multi-vocal analysis, introducing different theoretical lenses through which to reflect on the construction of the ‘everyday-ness’ in occupation, serves as an impetus towards an empirically drawn understanding of occupation. Additionally, such an approach reveals similarities, differences, and complexity that may arise when attempting to locate occupation as the central unit of analysis. The conclusion suggests that cutting through the layers of occupation necessarily provides multiple ontologies.</w:t>
      </w:r>
    </w:p>
    <w:p w:rsidR="00480DAD" w:rsidRPr="00AA4F75" w:rsidRDefault="00480DAD" w:rsidP="003B55D0">
      <w:pPr>
        <w:spacing w:line="480" w:lineRule="auto"/>
        <w:rPr>
          <w:b/>
        </w:rPr>
      </w:pPr>
    </w:p>
    <w:p w:rsidR="00D03975" w:rsidRPr="00AA4F75" w:rsidRDefault="00D03975" w:rsidP="003B55D0">
      <w:pPr>
        <w:spacing w:line="480" w:lineRule="auto"/>
        <w:rPr>
          <w:b/>
        </w:rPr>
      </w:pPr>
    </w:p>
    <w:p w:rsidR="00D03975" w:rsidRPr="00AA4F75" w:rsidRDefault="00D03975" w:rsidP="003B55D0">
      <w:pPr>
        <w:spacing w:line="480" w:lineRule="auto"/>
        <w:rPr>
          <w:b/>
        </w:rPr>
      </w:pPr>
    </w:p>
    <w:p w:rsidR="00D03975" w:rsidRPr="00AA4F75" w:rsidRDefault="00D03975" w:rsidP="003B55D0">
      <w:pPr>
        <w:spacing w:line="480" w:lineRule="auto"/>
        <w:rPr>
          <w:b/>
        </w:rPr>
      </w:pPr>
    </w:p>
    <w:p w:rsidR="00D03975" w:rsidRPr="00AA4F75" w:rsidRDefault="00D03975" w:rsidP="003B55D0">
      <w:pPr>
        <w:spacing w:line="480" w:lineRule="auto"/>
        <w:rPr>
          <w:b/>
        </w:rPr>
      </w:pPr>
    </w:p>
    <w:p w:rsidR="00D03975" w:rsidRPr="00AA4F75" w:rsidRDefault="00D03975" w:rsidP="003B55D0">
      <w:pPr>
        <w:spacing w:line="480" w:lineRule="auto"/>
        <w:rPr>
          <w:b/>
        </w:rPr>
      </w:pPr>
    </w:p>
    <w:p w:rsidR="00D03975" w:rsidRPr="00AA4F75" w:rsidRDefault="00D03975" w:rsidP="003B55D0">
      <w:pPr>
        <w:spacing w:line="480" w:lineRule="auto"/>
        <w:rPr>
          <w:b/>
        </w:rPr>
      </w:pPr>
    </w:p>
    <w:p w:rsidR="00D03975" w:rsidRPr="00AA4F75" w:rsidRDefault="00D03975" w:rsidP="003B55D0">
      <w:pPr>
        <w:spacing w:line="480" w:lineRule="auto"/>
        <w:rPr>
          <w:b/>
        </w:rPr>
      </w:pPr>
    </w:p>
    <w:p w:rsidR="00D03975" w:rsidRDefault="00D03975" w:rsidP="003B55D0">
      <w:pPr>
        <w:spacing w:line="480" w:lineRule="auto"/>
        <w:rPr>
          <w:b/>
        </w:rPr>
      </w:pPr>
    </w:p>
    <w:p w:rsidR="00216724" w:rsidRPr="00AA4F75" w:rsidRDefault="00216724" w:rsidP="003B55D0">
      <w:pPr>
        <w:spacing w:line="480" w:lineRule="auto"/>
        <w:rPr>
          <w:b/>
        </w:rPr>
      </w:pPr>
    </w:p>
    <w:p w:rsidR="00480DAD" w:rsidRPr="00AA4F75" w:rsidRDefault="00F65D15" w:rsidP="003B55D0">
      <w:pPr>
        <w:spacing w:line="480" w:lineRule="auto"/>
        <w:rPr>
          <w:b/>
        </w:rPr>
      </w:pPr>
      <w:r w:rsidRPr="00AA4F75">
        <w:rPr>
          <w:b/>
        </w:rPr>
        <w:lastRenderedPageBreak/>
        <w:t>Introduction</w:t>
      </w:r>
    </w:p>
    <w:p w:rsidR="00AA4F75" w:rsidRPr="00AA4F75" w:rsidRDefault="00D03975" w:rsidP="006F65A8">
      <w:pPr>
        <w:spacing w:line="480" w:lineRule="auto"/>
        <w:ind w:firstLine="720"/>
        <w:rPr>
          <w:rFonts w:eastAsia="Calibri"/>
          <w:lang w:val="en-US" w:eastAsia="en-US"/>
        </w:rPr>
      </w:pPr>
      <w:r w:rsidRPr="00AA4F75">
        <w:rPr>
          <w:lang w:val="en-US" w:eastAsia="en-US"/>
        </w:rPr>
        <w:t>Simultaneously basic and complex, cooking exemplifies the layers and levels from which theoretical conceptualisation and critical analysis of occupation may occur. It is an occupation with a multitude of components and tasks, assessment and therapeutic potential, personal and collective meaning, situated and cultural relevance, socioeconomic and generational affordances and constraints, and of interdisciplinary interest. As an everyday occupation for many, cooking transcends contexts from home to, as presented here, rehabilitative settings. This article draws analytic inspiration from a single cooking event, its actors and the everyday objects utilised within it. The authors’ intention is to examine this event to acknowledge the utility of a multi-vocal and co-laborative approach to analysis and articulate divergent interpretive possibilities rather than a singular unified representation (Lingard, Schryer, Spafford, &amp; Campbell, 2007). There is arguably a busy intersection of ‘calls’ within occupational science scholarship, all of which extend the contribution beyond</w:t>
      </w:r>
      <w:r w:rsidR="00B83B7A" w:rsidRPr="00AA4F75">
        <w:rPr>
          <w:lang w:val="en-US" w:eastAsia="en-US"/>
        </w:rPr>
        <w:t xml:space="preserve"> </w:t>
      </w:r>
      <w:r w:rsidR="00B83B7A" w:rsidRPr="00B83B7A">
        <w:rPr>
          <w:rFonts w:eastAsia="Calibri"/>
          <w:lang w:val="en-US" w:eastAsia="en-US"/>
        </w:rPr>
        <w:t>the individual examination of experience or participation. Occupation as explored through critical social theory has been considered as a ‘site’ that concurrently replicates and challenges social norms (Angell, 2014) or perpetuates political agendas (Njelesani, Gibson, Nixon, Cameron, &amp; Polatajko, 2013) and contexts (Fa</w:t>
      </w:r>
      <w:r w:rsidR="006F65A8" w:rsidRPr="00AA4F75">
        <w:rPr>
          <w:rFonts w:eastAsia="Calibri"/>
          <w:lang w:val="en-US" w:eastAsia="en-US"/>
        </w:rPr>
        <w:t>rias &amp; Laliberte Rudman, 2016).</w:t>
      </w:r>
    </w:p>
    <w:p w:rsidR="00B83B7A" w:rsidRPr="00B83B7A" w:rsidRDefault="006F65A8" w:rsidP="006F65A8">
      <w:pPr>
        <w:spacing w:line="480" w:lineRule="auto"/>
        <w:ind w:firstLine="720"/>
        <w:rPr>
          <w:rFonts w:eastAsia="Calibri"/>
          <w:lang w:val="en-US" w:eastAsia="en-US"/>
        </w:rPr>
      </w:pPr>
      <w:r w:rsidRPr="00AA4F75">
        <w:rPr>
          <w:rFonts w:eastAsia="Calibri"/>
          <w:lang w:val="en-US" w:eastAsia="en-US"/>
        </w:rPr>
        <w:t>T</w:t>
      </w:r>
      <w:r w:rsidR="00B83B7A" w:rsidRPr="00B83B7A">
        <w:rPr>
          <w:rFonts w:eastAsia="Calibri"/>
          <w:lang w:val="en-US" w:eastAsia="en-US"/>
        </w:rPr>
        <w:t xml:space="preserve">ransactional perspectives aligned with Dewey’s pragmatism have been embraced and enhanced, most recently with the challenge to adopt an empirical gaze to the situatedness of occupation, “the situations in which occupations take place” (Madsen &amp; Josephsson, 2017, p. 1). The sites and situations address contextual complexity; the philosophical or theoretical frame adopted during analysis therefore contributes insight and opportunity to advance the discourse around occupation. Implied perhaps but rarely directly named in these calls for analytic consideration is how the authorial ‘voice’ is constructed. If situatedness of occupation is to be taken seriously, and the informing or underpinning theoretical framework is to be carefully delineated (Madsen &amp; Josephsson, 2017), then the collaboration of authors and their respective identities must also be situated (Lingard et al., 2007; Niewöhner, 2016). </w:t>
      </w:r>
    </w:p>
    <w:p w:rsidR="00480DAD" w:rsidRPr="00834310" w:rsidRDefault="00AA4F75" w:rsidP="00834310">
      <w:pPr>
        <w:spacing w:line="480" w:lineRule="auto"/>
        <w:ind w:firstLine="720"/>
        <w:rPr>
          <w:lang w:val="en-US"/>
        </w:rPr>
      </w:pPr>
      <w:r w:rsidRPr="00AA4F75">
        <w:rPr>
          <w:lang w:val="en-US"/>
        </w:rPr>
        <w:lastRenderedPageBreak/>
        <w:t xml:space="preserve">Multi-vocal analysis is frequently undertaken within qualitative approaches as a form of theoretical triangulation (Denzin &amp; Lincoln, 2000), though the final published analytic representation is typically singular. In this article the three authors, only one of whom conducted the original research, undertook a modified co-laborative approach. Their process, made possible by the cross-disciplinary accessibility of the focus on occupation and the ‘practices of everyday’, was informed by the work of social anthropologist and science and technology scholar Jörg Niewöhner (2016). His proposal for ‘co-laborative’ empirical study is a neologism combining conceptualisations of laboratory and experiment as well as labour, introducing an alternative mode of anthropological engagement through “temporary, non-teleological, joint epistemic work aimed at producing disciplinary reflexivities” (p. 2). Our appropriation and presentation recognises an intentional and transparent, albeit temporary, engagement in analytic collaboration. We propose that multi-vocal ethnographic analysis is a way for occupational and social scientists to produce alternating disciplinary reflexivities; cutting through the layers to reveal different perspectives on occupation. In doing so, we reveal multiple rather than singular conceptualisations of occupation and its situatedness as well as opportunities to deepen or narrow the analytic purview. </w:t>
      </w:r>
    </w:p>
    <w:p w:rsidR="00480DAD" w:rsidRPr="00834310" w:rsidRDefault="00F65D15" w:rsidP="00834310">
      <w:pPr>
        <w:spacing w:line="480" w:lineRule="auto"/>
        <w:ind w:firstLine="720"/>
        <w:rPr>
          <w:highlight w:val="white"/>
        </w:rPr>
      </w:pPr>
      <w:r w:rsidRPr="00AA4F75">
        <w:rPr>
          <w:highlight w:val="white"/>
        </w:rPr>
        <w:t>The three adopted theoretical perspectives emerged from each author’s exploration and departure from the study’s original aims. Figured worlds (Holland &amp;  Skinner, 1997; Holland, Lachicotte, Skinner, &amp; Cain, 1998) were originally conceived through cultural situatedness and the close examination of everyday practices, objects and the interpersonal identities assumed therein. Borderlands (Mattingly, 2010) as a metaphorical and situated trope was paired with figured worlds to highlight the literal and symbolic movement in and through daily occupations.</w:t>
      </w:r>
      <w:r w:rsidR="00834310">
        <w:rPr>
          <w:highlight w:val="white"/>
        </w:rPr>
        <w:t xml:space="preserve"> </w:t>
      </w:r>
      <w:r w:rsidRPr="00AA4F75">
        <w:rPr>
          <w:highlight w:val="white"/>
        </w:rPr>
        <w:t>The second analytical approach starts off from a praxeographic account, focussing on practices as the unit of analysis rather than actors or phenomena. Understanding occupation as a practice-material arrangement (Schatzki, 2010) is therefore theoretically suitable. The approach aims to highlight how a therapeutic cooking group simulates routinized practices of private households through familiar, though contextually restricted, objects intended to enable daily occupatio</w:t>
      </w:r>
      <w:r w:rsidR="00834310">
        <w:t xml:space="preserve">n. </w:t>
      </w:r>
      <w:r w:rsidRPr="00AA4F75">
        <w:t xml:space="preserve">Social identity theory (Jenkins, 2004) as a third theoretical perspective provides interpretive opportunities to suggest how the collective occupation of the kitchen group contributes to the transformation of the identity of the various participants, the patient(s) and the therapist. This dialectical process whereby participants mutually construct their own and each other’s position and identity is revealed through the ethnographic field note data. </w:t>
      </w:r>
    </w:p>
    <w:p w:rsidR="00480DAD" w:rsidRPr="00AA4F75" w:rsidRDefault="00F65D15" w:rsidP="003B55D0">
      <w:pPr>
        <w:spacing w:line="480" w:lineRule="auto"/>
      </w:pPr>
      <w:r w:rsidRPr="00AA4F75">
        <w:t xml:space="preserve"> </w:t>
      </w:r>
    </w:p>
    <w:p w:rsidR="00480DAD" w:rsidRPr="00AA4F75" w:rsidRDefault="00F65D15" w:rsidP="003B55D0">
      <w:pPr>
        <w:spacing w:line="480" w:lineRule="auto"/>
        <w:rPr>
          <w:b/>
        </w:rPr>
      </w:pPr>
      <w:r w:rsidRPr="00AA4F75">
        <w:rPr>
          <w:b/>
        </w:rPr>
        <w:t>Methodology</w:t>
      </w:r>
    </w:p>
    <w:p w:rsidR="005F4790" w:rsidRDefault="00F65D15" w:rsidP="005F4790">
      <w:pPr>
        <w:spacing w:line="480" w:lineRule="auto"/>
        <w:ind w:firstLine="720"/>
      </w:pPr>
      <w:r w:rsidRPr="00AA4F75">
        <w:t>The empirical data presented here emerged from 12 months of ethnographic fieldwork conducted in an occupational the</w:t>
      </w:r>
      <w:r w:rsidR="001019D4" w:rsidRPr="00AA4F75">
        <w:t xml:space="preserve">rapy department of a German public </w:t>
      </w:r>
      <w:r w:rsidRPr="00AA4F75">
        <w:t>hospital inpatient mental health care uni</w:t>
      </w:r>
      <w:r w:rsidR="001019D4" w:rsidRPr="00AA4F75">
        <w:t>t. The researcher (Julie</w:t>
      </w:r>
      <w:r w:rsidR="001F08C3">
        <w:t xml:space="preserve"> Mewes</w:t>
      </w:r>
      <w:r w:rsidR="001019D4" w:rsidRPr="00AA4F75">
        <w:t>)</w:t>
      </w:r>
      <w:r w:rsidRPr="00AA4F75">
        <w:t>, a trained social anthropologist without any background in occupational therapy, was exploring ‘the practices of everyday life enablement in psychiatric occupational therapy.’ She was particularly interested in the notion of ‘everyday life’ and the specific occupational therapy conceptualization of it as an ability rather than something give</w:t>
      </w:r>
      <w:r w:rsidRPr="001F08C3">
        <w:t>n a priori.</w:t>
      </w:r>
      <w:r w:rsidRPr="00AA4F75">
        <w:t xml:space="preserve"> Her primary analysis focussed on the notion of productivity and routines and the materiality of occupational therapy enablement practices. More precisely, how patients, therapists, and the objects associated with (or emerging through) their work contribute to the production and construction of ‘everyday life’. </w:t>
      </w:r>
    </w:p>
    <w:p w:rsidR="00480DAD" w:rsidRPr="00AA4F75" w:rsidRDefault="00F65D15" w:rsidP="005F4790">
      <w:pPr>
        <w:spacing w:line="480" w:lineRule="auto"/>
        <w:ind w:firstLine="720"/>
      </w:pPr>
      <w:r w:rsidRPr="00AA4F75">
        <w:t>The study committed to the Code of Ethics of the American Anthropological Association (2009) meaning that all included people provided informed verbal consent to be part of the study in every observed situation. All names are pseudonyms and the clinic remains unnamed to ensure confidentiality.</w:t>
      </w:r>
    </w:p>
    <w:p w:rsidR="00A0583F" w:rsidRDefault="00F65D15" w:rsidP="00A0583F">
      <w:pPr>
        <w:spacing w:line="480" w:lineRule="auto"/>
        <w:ind w:firstLine="720"/>
      </w:pPr>
      <w:r w:rsidRPr="00AA4F75">
        <w:t xml:space="preserve">In order to capture the practices related to the ‘everyday’ and its implications for occupation, ethnographic methods were applied, including participatory observation shifting from active participation in cooking to pure observation depending the current needs of the group (Wind, 2008) within the occupational therapy unit. Ethnographic interviews with participants and mental health professionals on their perspectives and reflections on the </w:t>
      </w:r>
      <w:r w:rsidRPr="00AA4F75">
        <w:rPr>
          <w:i/>
        </w:rPr>
        <w:t xml:space="preserve">in-situ </w:t>
      </w:r>
      <w:r w:rsidRPr="00AA4F75">
        <w:t>practices were also conducted.</w:t>
      </w:r>
      <w:r w:rsidR="00A0583F">
        <w:t xml:space="preserve"> </w:t>
      </w:r>
      <w:r w:rsidRPr="00AA4F75">
        <w:t xml:space="preserve">Occupation itself depends upon object use and production and social interaction. Analyzing these two key factors from different angles might further our understanding of occupation as such. </w:t>
      </w:r>
    </w:p>
    <w:p w:rsidR="00480DAD" w:rsidRPr="00AA4F75" w:rsidRDefault="00F65D15" w:rsidP="003B55D0">
      <w:pPr>
        <w:spacing w:line="480" w:lineRule="auto"/>
        <w:ind w:firstLine="720"/>
      </w:pPr>
      <w:r w:rsidRPr="00AA4F75">
        <w:t xml:space="preserve">Doing ethnographic fieldwork with a focus on practices means understanding occupation as necessarily situated in the everyday life of individuals. Starting the inquiry in the actual time and place of these practices offers manifold insights on the complexity of occupation and their embeddedness in social interaction, power relations, bodies, artefacts, institutions and infrastructures (Prodinger, Shaw, Stamm, &amp; Rudman, 2014; Spradley, 1980; Townsend, 1998). Allowing multiple approaches not only stresses the richness of ethnographic data for analysis but also reveals its ambiguities. Co-laborative data analysis is therefore an excellent way to cut through the different layers of meaning and meaning-making which allowed the first author to see her data through different eyes and gain a far deeper understanding than the usual ‘lone-wolf’ type analysis common to ethnographers and qualitative data analysis in general. </w:t>
      </w:r>
    </w:p>
    <w:p w:rsidR="00480DAD" w:rsidRPr="00AA4F75" w:rsidRDefault="00F65D15" w:rsidP="003B55D0">
      <w:pPr>
        <w:spacing w:line="480" w:lineRule="auto"/>
      </w:pPr>
      <w:r w:rsidRPr="00AA4F75">
        <w:t xml:space="preserve"> </w:t>
      </w:r>
    </w:p>
    <w:p w:rsidR="00480DAD" w:rsidRPr="00AA4F75" w:rsidRDefault="00F65D15" w:rsidP="003B55D0">
      <w:pPr>
        <w:spacing w:line="480" w:lineRule="auto"/>
        <w:rPr>
          <w:b/>
        </w:rPr>
      </w:pPr>
      <w:r w:rsidRPr="00AA4F75">
        <w:rPr>
          <w:b/>
        </w:rPr>
        <w:t>Ethnographic data set</w:t>
      </w:r>
    </w:p>
    <w:p w:rsidR="00480DAD" w:rsidRPr="00AA4F75" w:rsidRDefault="00F65D15" w:rsidP="003B55D0">
      <w:pPr>
        <w:spacing w:line="480" w:lineRule="auto"/>
        <w:ind w:firstLine="720"/>
      </w:pPr>
      <w:r w:rsidRPr="00AA4F75">
        <w:t>The following field note, translated into English</w:t>
      </w:r>
      <w:r w:rsidR="00A0583F">
        <w:t xml:space="preserve"> by the first author and checked for accuracy by an academic supervisor</w:t>
      </w:r>
      <w:r w:rsidRPr="00AA4F75">
        <w:t>, is from one of the weekly cooking groups that occurred in the day room of the ward. The focus here is on one of the participating patients, Mr Adler, in order to highlight the complexity of enabling occupation within the field of psychiatric occupational therapy. Immediately following the cooking group the therapist in charge, occupational therapist (OT) Lichter, reflected upon the ward in a feedback interview in order to capture his therapeutic intentions in this particular situation and to offer his perspective on Mr Adler’s participation. The combination of field note and interview data offers a rich basis for the three analytical approaches and allows further considerations about co-laborative modes of ethnographic analyses to be explored in the discussion section.</w:t>
      </w:r>
    </w:p>
    <w:p w:rsidR="00480DAD" w:rsidRDefault="00F65D15" w:rsidP="003B55D0">
      <w:pPr>
        <w:spacing w:line="480" w:lineRule="auto"/>
      </w:pPr>
      <w:r w:rsidRPr="00AA4F75">
        <w:t xml:space="preserve"> </w:t>
      </w:r>
    </w:p>
    <w:p w:rsidR="00E541F4" w:rsidRDefault="00E541F4" w:rsidP="003B55D0">
      <w:pPr>
        <w:spacing w:line="480" w:lineRule="auto"/>
      </w:pPr>
    </w:p>
    <w:p w:rsidR="00E541F4" w:rsidRPr="00AA4F75" w:rsidRDefault="00E541F4" w:rsidP="003B55D0">
      <w:pPr>
        <w:spacing w:line="480" w:lineRule="auto"/>
      </w:pPr>
    </w:p>
    <w:p w:rsidR="00480DAD" w:rsidRPr="00AA4F75" w:rsidRDefault="00F65D15" w:rsidP="003B55D0">
      <w:pPr>
        <w:spacing w:line="480" w:lineRule="auto"/>
        <w:rPr>
          <w:b/>
        </w:rPr>
      </w:pPr>
      <w:r w:rsidRPr="00AA4F75">
        <w:rPr>
          <w:b/>
        </w:rPr>
        <w:t>(1) Field note</w:t>
      </w:r>
    </w:p>
    <w:p w:rsidR="00480DAD" w:rsidRPr="00AA4F75" w:rsidRDefault="00F65D15" w:rsidP="003B55D0">
      <w:pPr>
        <w:spacing w:line="480" w:lineRule="auto"/>
        <w:ind w:right="180" w:firstLine="720"/>
        <w:rPr>
          <w:i/>
        </w:rPr>
      </w:pPr>
      <w:r w:rsidRPr="00AA4F75">
        <w:rPr>
          <w:i/>
        </w:rPr>
        <w:t>Mr Adler, a patient, wanders around the hallway when OT Lichter arrives at the ward, greets him, puts one of his hands on his shoulder and tells him: “It is time for the cooking group now.” Mr Adler nods and walks into the day room where eight other patients gather.</w:t>
      </w:r>
    </w:p>
    <w:p w:rsidR="00480DAD" w:rsidRPr="00AA4F75" w:rsidRDefault="00F65D15" w:rsidP="003B55D0">
      <w:pPr>
        <w:spacing w:line="480" w:lineRule="auto"/>
        <w:ind w:right="180" w:firstLine="720"/>
        <w:rPr>
          <w:i/>
        </w:rPr>
      </w:pPr>
      <w:r w:rsidRPr="00AA4F75">
        <w:rPr>
          <w:i/>
        </w:rPr>
        <w:t>OT Lichter enters the day room, waves the recipe and carries knives, which are kept in the staff members’ rooms during the rest of the time, for the upcoming cooking group. Ms Elser is appointed “commissioner of the recipe.” She receives the knives and the recipe and proceeds to read it out step by step while OT Lichter distributes the tasks to the other eight patients attending today's cooking group. They are then handed the knives by Ms Elser. Most of the patients immediately start to peel or chop.</w:t>
      </w:r>
    </w:p>
    <w:p w:rsidR="00480DAD" w:rsidRPr="00AA4F75" w:rsidRDefault="00F65D15" w:rsidP="003B55D0">
      <w:pPr>
        <w:spacing w:line="480" w:lineRule="auto"/>
        <w:ind w:right="180" w:firstLine="720"/>
        <w:rPr>
          <w:i/>
        </w:rPr>
      </w:pPr>
      <w:r w:rsidRPr="00AA4F75">
        <w:rPr>
          <w:i/>
        </w:rPr>
        <w:t>“Mr Adler, the onions are your task from now on“, OT Lichter says in his direction. Ms Elser puts a cutting board in front of him and gives him one of the knives. A bag of onions lies on top of the cooking island. Mr Adler puts his hand with the knife down on the cutting board and stares at the onions for several minutes and then looks at the other patients, but no one returns his gaze. He slowly turns around and leaves the day room in the direction of the hallway and his room. OT Lichter follows him and both men return about a minute later.</w:t>
      </w:r>
    </w:p>
    <w:p w:rsidR="00480DAD" w:rsidRPr="00AA4F75" w:rsidRDefault="00F65D15" w:rsidP="003B55D0">
      <w:pPr>
        <w:spacing w:line="480" w:lineRule="auto"/>
        <w:ind w:right="180" w:firstLine="720"/>
        <w:rPr>
          <w:i/>
        </w:rPr>
      </w:pPr>
      <w:r w:rsidRPr="00AA4F75">
        <w:rPr>
          <w:i/>
        </w:rPr>
        <w:t>Ms Rammert, another patient, is done with her task of peeling carrots. She takes up the knife Mr Adler left at the cutting board and reaches for the onions. OT Lichter intervenes: “No, the onions are Mr Adler’s task now.” To Mr Adler he adds in a calm but firm voice: “You have started something, now you will finish it.”</w:t>
      </w:r>
    </w:p>
    <w:p w:rsidR="00480DAD" w:rsidRPr="00AA4F75" w:rsidRDefault="00F65D15" w:rsidP="003B55D0">
      <w:pPr>
        <w:spacing w:line="480" w:lineRule="auto"/>
        <w:ind w:right="180" w:firstLine="720"/>
        <w:rPr>
          <w:i/>
        </w:rPr>
      </w:pPr>
      <w:r w:rsidRPr="00AA4F75">
        <w:rPr>
          <w:i/>
        </w:rPr>
        <w:t>Mr Adler stands in front of the onions again, staring at them without any movement. When OT Lichter is talking to another patient, Ms Rammert takes one of the onions and puts it on the cutting board in front of Mr Adler. He looks at her and then moves his gaze to the onion. Some minutes later he turns around again and leaves the room, hastily this time. OT Lichter follows him quickly. This time, OT Lichter leads him by the arm when coming back into the day room. When arriving at the cooking island Mr Adler removes his arm with a jolt.</w:t>
      </w:r>
    </w:p>
    <w:p w:rsidR="00480DAD" w:rsidRPr="00AA4F75" w:rsidRDefault="00F65D15" w:rsidP="003B55D0">
      <w:pPr>
        <w:spacing w:line="480" w:lineRule="auto"/>
        <w:ind w:right="180" w:firstLine="720"/>
        <w:rPr>
          <w:i/>
        </w:rPr>
      </w:pPr>
      <w:r w:rsidRPr="00AA4F75">
        <w:rPr>
          <w:i/>
        </w:rPr>
        <w:t>OT Lichter hands him the onion and the knife, looks at the cutting board and says: “Cut!” Mr Adler starts to peel the onion and to cut it slowly, while Ms Rammert starts to peel and cut onions on her board as well. She then puts her onions and his in a pan, adds oil and starts to fry them, telling Mr Adler to take care of the onions from now on. Mr Adler makes a step in the direction of the stove without saying a word. He stares at the frying onions for a couple of minutes but then turns around again and leaves the room, this time running as fast as he can. OT Lichter doesn’t take the eye off the peppers he is frying and shouts: “Mr Adler, the onions!” But he has already left and will not return for the day. [10/05/2013]</w:t>
      </w:r>
    </w:p>
    <w:p w:rsidR="00480DAD" w:rsidRPr="00AA4F75" w:rsidRDefault="00F65D15" w:rsidP="003B55D0">
      <w:pPr>
        <w:spacing w:line="480" w:lineRule="auto"/>
        <w:ind w:right="180"/>
      </w:pPr>
      <w:r w:rsidRPr="00AA4F75">
        <w:t xml:space="preserve"> </w:t>
      </w:r>
    </w:p>
    <w:p w:rsidR="00480DAD" w:rsidRPr="00AA4F75" w:rsidRDefault="00F65D15" w:rsidP="003B55D0">
      <w:pPr>
        <w:spacing w:line="480" w:lineRule="auto"/>
        <w:rPr>
          <w:b/>
        </w:rPr>
      </w:pPr>
      <w:r w:rsidRPr="00AA4F75">
        <w:rPr>
          <w:b/>
        </w:rPr>
        <w:t>(2) Excerpt from the follow-up interview</w:t>
      </w:r>
    </w:p>
    <w:p w:rsidR="00480DAD" w:rsidRPr="00AA4F75" w:rsidRDefault="00F65D15" w:rsidP="003B55D0">
      <w:pPr>
        <w:spacing w:line="480" w:lineRule="auto"/>
        <w:ind w:firstLine="720"/>
        <w:rPr>
          <w:i/>
        </w:rPr>
      </w:pPr>
      <w:r w:rsidRPr="00AA4F75">
        <w:rPr>
          <w:i/>
        </w:rPr>
        <w:t>OT Lichter: Mr Adler is a never-ending story today. […] And I thought it would be nice for him to participate in the cooking group. Because I tried to take his mind off his thoughts a little bit which did not seem to work out somehow. He left and left the onions to burn. And this happened, since he was concerned with his own thoughts and so busy with his – [pause] inner madness that there was no place for feedback left. Well, I tried [to talk to him], but this time it did not work out. […] Well, you have to imagine it like this: You arrive at work but constantly have to think about whether your curtains caught fire since you left the stove switched on. One has these kinds of thoughts sometimes, yes? And this is what happened to Mr Adler. He thought about what happened to his grandchildren the entire time. He doesn’t think they [the grandchildren] are getting burned but that he has done something wrong. And he did not have the opportunity to take care of the onions since he did not manage to stay so long [in the situation]. He had to leave. [10/05/13]</w:t>
      </w:r>
    </w:p>
    <w:p w:rsidR="00480DAD" w:rsidRPr="00AA4F75" w:rsidRDefault="00F65D15" w:rsidP="003B55D0">
      <w:pPr>
        <w:spacing w:line="480" w:lineRule="auto"/>
        <w:rPr>
          <w:strike/>
        </w:rPr>
      </w:pPr>
      <w:r w:rsidRPr="00AA4F75">
        <w:rPr>
          <w:strike/>
        </w:rPr>
        <w:t xml:space="preserve"> </w:t>
      </w:r>
    </w:p>
    <w:p w:rsidR="00480DAD" w:rsidRPr="00AA4F75" w:rsidRDefault="00F65D15" w:rsidP="003B55D0">
      <w:pPr>
        <w:spacing w:line="480" w:lineRule="auto"/>
        <w:ind w:firstLine="720"/>
        <w:rPr>
          <w:highlight w:val="white"/>
        </w:rPr>
      </w:pPr>
      <w:r w:rsidRPr="00AA4F75">
        <w:rPr>
          <w:highlight w:val="white"/>
        </w:rPr>
        <w:t>Taking the ethnographic data as the starting point, our multivocal analytical approa</w:t>
      </w:r>
      <w:r w:rsidR="00107196" w:rsidRPr="00AA4F75">
        <w:rPr>
          <w:highlight w:val="white"/>
        </w:rPr>
        <w:t>ch begins with Michelle Elliot‘s</w:t>
      </w:r>
      <w:r w:rsidRPr="00AA4F75">
        <w:rPr>
          <w:highlight w:val="white"/>
        </w:rPr>
        <w:t xml:space="preserve"> adoption of figured worlds and borderlands. </w:t>
      </w:r>
      <w:r w:rsidR="00107196" w:rsidRPr="00AA4F75">
        <w:rPr>
          <w:highlight w:val="white"/>
        </w:rPr>
        <w:t>Julie</w:t>
      </w:r>
      <w:r w:rsidRPr="00AA4F75">
        <w:rPr>
          <w:highlight w:val="white"/>
        </w:rPr>
        <w:t xml:space="preserve"> </w:t>
      </w:r>
      <w:r w:rsidR="00107196" w:rsidRPr="00AA4F75">
        <w:rPr>
          <w:highlight w:val="white"/>
        </w:rPr>
        <w:t xml:space="preserve">Mewes </w:t>
      </w:r>
      <w:r w:rsidRPr="00AA4F75">
        <w:rPr>
          <w:highlight w:val="white"/>
        </w:rPr>
        <w:t>then introduces praxeographic approaches to material arrangements to enable oc</w:t>
      </w:r>
      <w:r w:rsidR="00107196" w:rsidRPr="00AA4F75">
        <w:rPr>
          <w:highlight w:val="white"/>
        </w:rPr>
        <w:t>cupation. Finally Kim Lee</w:t>
      </w:r>
      <w:r w:rsidRPr="00AA4F75">
        <w:rPr>
          <w:highlight w:val="white"/>
        </w:rPr>
        <w:t xml:space="preserve"> elaborates on how the data set, representative of occupation more broadly, can be read as meaning making and an internalization process in the production of both patients’ and therapists’ social identity. The three theoretical perspectives will then be brought together in a collective discussion.</w:t>
      </w:r>
    </w:p>
    <w:p w:rsidR="00480DAD" w:rsidRPr="00AA4F75" w:rsidRDefault="00F65D15" w:rsidP="003B55D0">
      <w:pPr>
        <w:spacing w:line="480" w:lineRule="auto"/>
      </w:pPr>
      <w:r w:rsidRPr="00AA4F75">
        <w:t xml:space="preserve"> </w:t>
      </w:r>
    </w:p>
    <w:p w:rsidR="00480DAD" w:rsidRPr="00AA4F75" w:rsidRDefault="00F65D15" w:rsidP="003B55D0">
      <w:pPr>
        <w:spacing w:line="480" w:lineRule="auto"/>
        <w:rPr>
          <w:b/>
        </w:rPr>
      </w:pPr>
      <w:r w:rsidRPr="00AA4F75">
        <w:rPr>
          <w:b/>
        </w:rPr>
        <w:t>Figured worlds, borderlands and symbolism in everyday occupation</w:t>
      </w:r>
    </w:p>
    <w:p w:rsidR="00480DAD" w:rsidRPr="00AA4F75" w:rsidRDefault="00F65D15" w:rsidP="003B55D0">
      <w:pPr>
        <w:spacing w:line="480" w:lineRule="auto"/>
        <w:ind w:firstLine="720"/>
      </w:pPr>
      <w:r w:rsidRPr="00AA4F75">
        <w:t xml:space="preserve">“Figured worlds take shape within and grant shape to the coproduction of activities, discourses, performances, and artefacts” (Holland et al., 1998, p. 51). As an analytic approach, the construction of lived or ‘figured’ worlds has been adopted and appropriated across diverse cultural contexts such as masculinity in education (Ek &amp; Domínguez Chávez, 2015), military transitions (Cogan, 2016), eating disorders (Elliot, 2012) and Alcoholics Anonymous (Cain, 1991). This framing of occupations and experiences uphold Holland and colleagues’ (1997; 1998) original theoretical base and anthropologically informed conceptualisation of self and identity through social organisation and replication. </w:t>
      </w:r>
    </w:p>
    <w:p w:rsidR="00480DAD" w:rsidRPr="00AA4F75" w:rsidRDefault="00F65D15" w:rsidP="003B55D0">
      <w:pPr>
        <w:spacing w:line="480" w:lineRule="auto"/>
        <w:ind w:firstLine="720"/>
      </w:pPr>
      <w:r w:rsidRPr="00AA4F75">
        <w:t>Figured world as an analytic lens incorporates multiple philosophical considerations, though full detailed description exceeds the scope of this analysis. Pertinent to the data here is the contribution of Lev Vygotsky’s developmental theories on scaffolding, learning how practices occur in different contexts through incremental assumption of responsibility, and the role of improvisation and mediating devices in modifying environments and behaviours (Holland et al., 1998). The collective preparation of goulash within an institutional setting is the occupation under analysis here. Within the subjunctive ‘as if’ figured world, the material objects of this context, “tools of agency” (Holland et al., 1998, p. 42) and the specific task of onion preparation, takes on intersubjective, relational, transitional and meaningful significance.</w:t>
      </w:r>
    </w:p>
    <w:p w:rsidR="00480DAD" w:rsidRPr="00AA4F75" w:rsidRDefault="00F65D15" w:rsidP="003B55D0">
      <w:pPr>
        <w:spacing w:line="480" w:lineRule="auto"/>
        <w:ind w:firstLine="720"/>
      </w:pPr>
      <w:r w:rsidRPr="00AA4F75">
        <w:t>There are several primary tools identified in the ethnographic field note: a recipe, cutting knives, chopping boards, vegetables including onions, and the stove atop which Mr Adler is to cook the onions. Each of these artefacts is relatively ordinary, found in many kitchens and handled with familiarity. “Most of the patients immediately start to peel or chop.” However looking at these same objects as tools of agency invites an alternative interpretation. Ms Elser hands out the knives, of which she had just assumed possession. Despite their necessity in a kitchen, knives here are locked away when not required for cooking; their use is closely monitored and supervised. An everyday task of preparing vegetables has transformed from ordinary to extraordinary on account of the constructed culture of the hospital context.</w:t>
      </w:r>
    </w:p>
    <w:p w:rsidR="00480DAD" w:rsidRPr="00AA4F75" w:rsidRDefault="00F65D15" w:rsidP="003B55D0">
      <w:pPr>
        <w:spacing w:line="480" w:lineRule="auto"/>
        <w:ind w:firstLine="720"/>
      </w:pPr>
      <w:r w:rsidRPr="00AA4F75">
        <w:t>After several starts and stops, Mr Adler begins to cut the onions, thus demonstrating his capacity and knowledge of the process itself. Others in the group attempted to intervene, not scaffolding his learning but circumventing his participation to align with their own. “Mr Adler makes a step in the direction of the stove … stares at the frying onions … leaves the room again, this time running.” The response this action garners is a reminder of the task at hand – “Mr Adler, the onions!” When this behaviour, Mr Adler’s cautious approach and swift withdrawal from the stove, is woven together with OT Lichter’s interpretive account of Mr Adler’s personal history, the symbolic mediation of this object (stove) can be identified. If Mr Adler’s pervasive concern about harm to his grandchildren is metaphorically construed by the fear and risks associated with ‘leaving the stove on’; the adoption of a figured world lens permits an alternate interpretation of Mr Adler’s behaviours. The request to engage in cooking tasks involves use of the stove. Being required to stand in proximity to the stove, a relational object signifying fear and distress, could be considered as the precipitating factor to his departure - serving a survival purpose rather than demonstrating an act of therapeutic rebellion.</w:t>
      </w:r>
    </w:p>
    <w:p w:rsidR="00480DAD" w:rsidRPr="00AA4F75" w:rsidRDefault="00F65D15" w:rsidP="003B55D0">
      <w:pPr>
        <w:spacing w:line="480" w:lineRule="auto"/>
        <w:ind w:firstLine="720"/>
      </w:pPr>
      <w:r w:rsidRPr="00AA4F75">
        <w:t xml:space="preserve">A supporting anthropological trope, though not readily paired in the figured world literature, is that of ‘borderlands’ (Mattingly, 2010). In this context, borderlands are not literal geographic bounded zones, rather are situated spaces and places “of encounter rather than enclosure … defined by practices that bind people together who otherwise would not belong together” (Mattingly, Grøn, Meinert, 2011, p. 352). With the call for situated perspectives of occupation or occupation as ‘sites’, borderlands provide further conceptual alliance with the lexicon within occupational science. The psychiatric unit in particular and the therapy department more generally could represent a borderland around which the ‘border practices’ of cooking and the implements required for it are co-produced and ‘figured’ to reflect the layers and levels of expectation and intention. </w:t>
      </w:r>
    </w:p>
    <w:p w:rsidR="00480DAD" w:rsidRPr="00AA4F75" w:rsidRDefault="00F65D15" w:rsidP="003B55D0">
      <w:pPr>
        <w:spacing w:line="480" w:lineRule="auto"/>
        <w:ind w:firstLine="720"/>
        <w:rPr>
          <w:strike/>
        </w:rPr>
      </w:pPr>
      <w:r w:rsidRPr="00AA4F75">
        <w:t xml:space="preserve">In the everyday world of cooking, the choice to prepare soup from scratch is informed by the time available and preceding circumstances: a promise to family, the arrival of company, a cold winter afternoon, using available produce before the next shopping trip. Declining or resisting involvement in this occupational opportunity is understood within the culture from which such practices and intentions originate. Each object, human and material, involved in this occupation plays a role that is not solely of their own construction: the commissioner of the recipe is appointed; “the onions are your task” is confirmed; the tools are presented; the community of cooks is assembled in a kitchen purpose built in a medical facility.  </w:t>
      </w:r>
    </w:p>
    <w:p w:rsidR="00480DAD" w:rsidRDefault="00F65D15" w:rsidP="003B55D0">
      <w:pPr>
        <w:spacing w:line="480" w:lineRule="auto"/>
        <w:ind w:firstLine="720"/>
      </w:pPr>
      <w:r w:rsidRPr="00AA4F75">
        <w:t>Movement in figured or literal ways with the border practices of cooking constructs an alternate socio-cultural relational dynamic that challenges normative approaches to and interpretations of ordinary choices in everyday life. For OT Lichter, his role and concern for the involvement of Mr. Adler in the cooking group depicts his concurrent socialisation in the biomedical world – psychiatric care, safety protocols, presumed therapeutic benefit in ‘doing’ – and the figured world of psychiatry (Holland et al, 1998). Considering occupation (cooking) as a practice existing in multiple iterations in lived worlds, requires an appreciation for the meaning and significance of occupation in different temporal, spatial and cultural contexts (Elliot, 2012). The objects required for participation in occupation, in this instance, the implements for preparing goulash, are equally relevant artefacts for analysis. “They are the means by which figured worlds are evoked, collectively developed, individually learned, and made socially and personally powerful” (Holland et al., 1998, p. 61).</w:t>
      </w:r>
    </w:p>
    <w:p w:rsidR="00216724" w:rsidRDefault="00216724" w:rsidP="003B55D0">
      <w:pPr>
        <w:spacing w:line="480" w:lineRule="auto"/>
        <w:ind w:firstLine="720"/>
      </w:pPr>
    </w:p>
    <w:p w:rsidR="00216724" w:rsidRPr="00AA4F75" w:rsidRDefault="00216724" w:rsidP="003B55D0">
      <w:pPr>
        <w:spacing w:line="480" w:lineRule="auto"/>
        <w:ind w:firstLine="720"/>
      </w:pPr>
    </w:p>
    <w:p w:rsidR="00480DAD" w:rsidRPr="00AA4F75" w:rsidRDefault="00480DAD" w:rsidP="003B55D0">
      <w:pPr>
        <w:spacing w:line="480" w:lineRule="auto"/>
        <w:rPr>
          <w:b/>
        </w:rPr>
      </w:pPr>
    </w:p>
    <w:p w:rsidR="00480DAD" w:rsidRPr="00AA4F75" w:rsidRDefault="00F65D15" w:rsidP="003B55D0">
      <w:pPr>
        <w:spacing w:line="480" w:lineRule="auto"/>
        <w:rPr>
          <w:b/>
        </w:rPr>
      </w:pPr>
      <w:r w:rsidRPr="00AA4F75">
        <w:rPr>
          <w:b/>
        </w:rPr>
        <w:t>Praxeographic accounts of knife-use as part of a practice-material arrangement</w:t>
      </w:r>
    </w:p>
    <w:p w:rsidR="00480DAD" w:rsidRPr="00AA4F75" w:rsidRDefault="00F65D15" w:rsidP="003B55D0">
      <w:pPr>
        <w:spacing w:line="480" w:lineRule="auto"/>
        <w:ind w:firstLine="720"/>
      </w:pPr>
      <w:r w:rsidRPr="00AA4F75">
        <w:t>Drawing particularly from the work of sociologist and ethnologist Pierre Bourdieu (1977, 1984), practice theory or praxeology has become an important approach within social theory and cultural analysis over the last three decades, inviting some scholars to adopt a ‘practice turn in contemporary theory’ (Reckwitz, 2003; Schatzki, Knorr-Cetina, &amp; von Savigny, 2001). Practices are defined as “open-ended spatial-temporal manifolds of actions” (Schatzki, 2005, p. 471) stressing “the ‘informal’, tacit logic of practices and the location of the social in practical understanding and know-how techniques; the materiality of practices as dependent on bodies and artefacts, finally, the tension between routinization and basic incalculabilities of social practices” (Reckwitz, 2003, p. 301). The practice ‘turn’ involves a shift from an anthropocentric focus toward a practice-oriented analytical lens (Knecht, 2012). Practice theorists working with ethnographic methods claim that practices are embedded within material configurations pointing to the social lives of objects along with conceptual discussions of objects and materiality to be followed in action (Henare, Holbraad, &amp; Wastell, 2007; Mol, 2002; Mol, Moser, &amp; Pols, 2010; Star &amp; Strauss, 1999). Instead of giving credit to their material or symbolic value as manifestations or signs of culture only, objects-in-use constantly contextualize, support, shape or limit social practices in specific ways (Beck, 1997; Beck, Niewöhner, &amp; Sørensen, 2012).</w:t>
      </w:r>
    </w:p>
    <w:p w:rsidR="00480DAD" w:rsidRPr="00AA4F75" w:rsidRDefault="00F65D15" w:rsidP="003B55D0">
      <w:pPr>
        <w:spacing w:line="480" w:lineRule="auto"/>
        <w:ind w:firstLine="720"/>
      </w:pPr>
      <w:r w:rsidRPr="00AA4F75">
        <w:t>When “practices are carried on amid and determinative of, while also dependent on and altered by, material arrangements” (Schatzki, 2010, p. 130) these arrangements need further elaboration for the study of occupation. The cooking group as part of occupational therapy in a psychiatric ward can be contextually understood as an exemplar of a practice-material arrangement in several ways. Firstly, the context is a therapeutic unit designed to enable patients to regain their agency for an autonomous everyday life outside of the hospital. Alternatively, it can be understood as a situated practice where objects-in-use function as agents enabling specific activities of daily living and highlighting their relevance to occupation as such.</w:t>
      </w:r>
    </w:p>
    <w:p w:rsidR="00480DAD" w:rsidRPr="00AA4F75" w:rsidRDefault="00F65D15" w:rsidP="003B55D0">
      <w:pPr>
        <w:spacing w:line="480" w:lineRule="auto"/>
        <w:ind w:firstLine="720"/>
      </w:pPr>
      <w:r w:rsidRPr="00AA4F75">
        <w:t>Restrictions to time and space within inpatient psychiatric care have been discussed broadly in the past (Goffman, 1961). For patients such as Mr Adler, the day in the ward is structured by therapeutic, medical and psychiatric involvement all of which he is expected to attend. Besides the importance given to routinized time-use, the spatial arrangement of the ward further adds to these restrictions and to the specificity of implied definitions of agency in everyday life. Electric doors ensure Mr Adler occupies spaces for which he is granted permission. He and the other patients are encouraged to spend their free time in the day room located in the centre of the ward. With its fully equipped kitchen island in the middle it looks ‘as if’ it were part of a private household. As the only hospital unit with a kitchen, pointing towards the exceptionality of the ward and the therapeutic concept of normalizing and routinizing practices to be performed in preparation for a life ‘outside,’ its presence also functions to highlight the importance of the objects-in-use as a form of ‘stage’ on which the everyday is (to be) simulated (Brücher, 2005; Townsend, 1998).</w:t>
      </w:r>
    </w:p>
    <w:p w:rsidR="00480DAD" w:rsidRPr="00AA4F75" w:rsidRDefault="00F65D15" w:rsidP="003B55D0">
      <w:pPr>
        <w:spacing w:line="480" w:lineRule="auto"/>
        <w:ind w:firstLine="720"/>
      </w:pPr>
      <w:r w:rsidRPr="00AA4F75">
        <w:t>Knives, a central tool in food preparation, are missing in this kitchen except during facilitated cooking groups. Mr Adler is asked to cut onions and handed a more-or-less sharp fruit knife. Due to (self-) harm risk, knives are locked away when not in use during the rest of the week, are counted by the therapist before and after groups, and throughout all groups, use is closely monitored. Patients regularly joke about whether they should be trusted around knives and some of the team members have expressed concerns for their personal safety and the safety of their patients. Due to the restriction, knife-use can be interpreted as a form of privilege; a demonstration of trust. Concurrently knife-use implies a shared normalizing and routinizing practice between patients and therapist within an ‘as if’- material arrangement.</w:t>
      </w:r>
    </w:p>
    <w:p w:rsidR="0067241C" w:rsidRDefault="00F65D15" w:rsidP="009108C3">
      <w:pPr>
        <w:spacing w:line="480" w:lineRule="auto"/>
        <w:ind w:firstLine="720"/>
      </w:pPr>
      <w:r w:rsidRPr="00AA4F75">
        <w:t xml:space="preserve">Mr Adler’s participation in the cooking group is thought “to take his mind off his thoughts.” Cutting an onion is taking part in sociality by enacting the mundane practice of collective cooking, to contribute to the goulash and to fulfil similar tasks in comparable practice-material arrangements after discharge. OT Lichter seems to be aware of this with his repeated focus on bringing Mr Adler and the task of cutting onions together. He does not offer other tasks and insists on him finishing </w:t>
      </w:r>
      <w:r w:rsidRPr="00AA4F75">
        <w:rPr>
          <w:i/>
        </w:rPr>
        <w:t>his</w:t>
      </w:r>
      <w:r w:rsidRPr="00AA4F75">
        <w:t xml:space="preserve"> task instead. Though Mr Adler leaves the situation several times he picks up the knife handed to him again when being brought back to the room, looking to the other patients cutting and chopping as if trying to understand what he is supposed to do.</w:t>
      </w:r>
      <w:r w:rsidR="009108C3">
        <w:t xml:space="preserve"> </w:t>
      </w:r>
    </w:p>
    <w:p w:rsidR="00480DAD" w:rsidRPr="00AA4F75" w:rsidRDefault="00F65D15" w:rsidP="009108C3">
      <w:pPr>
        <w:spacing w:line="480" w:lineRule="auto"/>
        <w:ind w:firstLine="720"/>
      </w:pPr>
      <w:r w:rsidRPr="00AA4F75">
        <w:t>Most of the patients immediately start to cut and peel their allocated vegetables. The material arrangement between Ms Elser, Ms Rammert and the other patients and the objects-in-use seem to work out without interference. But knife-use requires a certain amount of concentration, stamina and motion control and demands constant attention and ‘being in the situation.’ Only after Ms Rammert’s intervention by putting an onion on his chopping board, does Mr Adler use his knife. But when referred to another object, the stove, he leaves the room again, hastily.</w:t>
      </w:r>
    </w:p>
    <w:p w:rsidR="00480DAD" w:rsidRPr="00AA4F75" w:rsidRDefault="00F65D15" w:rsidP="003B55D0">
      <w:pPr>
        <w:spacing w:line="480" w:lineRule="auto"/>
        <w:ind w:firstLine="720"/>
      </w:pPr>
      <w:r w:rsidRPr="00AA4F75">
        <w:t>OT Lichter defines Mr Adler’s interaction with the knife as failed and the man as too distracted to fulfil the task. This might be understood as an unsuccessful practice-material arrangement involving Mr Adler and the knife, which is meant to work as a bridging object towards everyday life outside the ward. The knife therefore is a tool in the diagnostic process, determining the readiness for Mr Adler to assume greater autonomy. Praxeographic accounts focusing on practices as embedded in material arrangements highlight how a therapeutic cooking group simulates routinized practices of private households through familiar though contextually restricted objects. A simple knife then possesses normalizing and routinizing features in a therapeutic practice-material arrangement intended to enable daily occupation.</w:t>
      </w:r>
    </w:p>
    <w:p w:rsidR="00480DAD" w:rsidRPr="00AA4F75" w:rsidRDefault="00F65D15" w:rsidP="003B55D0">
      <w:pPr>
        <w:spacing w:line="480" w:lineRule="auto"/>
      </w:pPr>
      <w:r w:rsidRPr="00AA4F75">
        <w:t xml:space="preserve"> </w:t>
      </w:r>
    </w:p>
    <w:p w:rsidR="00107196" w:rsidRPr="00AA4F75" w:rsidRDefault="00107196" w:rsidP="003B55D0">
      <w:pPr>
        <w:spacing w:line="480" w:lineRule="auto"/>
      </w:pPr>
    </w:p>
    <w:p w:rsidR="00480DAD" w:rsidRPr="00AA4F75" w:rsidRDefault="00F65D15" w:rsidP="003B55D0">
      <w:pPr>
        <w:spacing w:line="480" w:lineRule="auto"/>
        <w:rPr>
          <w:b/>
        </w:rPr>
      </w:pPr>
      <w:r w:rsidRPr="00AA4F75">
        <w:rPr>
          <w:b/>
        </w:rPr>
        <w:t>Mr Adler and OT Lichter – Who needs who in the shaping of identification</w:t>
      </w:r>
    </w:p>
    <w:p w:rsidR="00480DAD" w:rsidRPr="00AA4F75" w:rsidRDefault="00F65D15" w:rsidP="003B55D0">
      <w:pPr>
        <w:spacing w:line="480" w:lineRule="auto"/>
        <w:ind w:firstLine="720"/>
      </w:pPr>
      <w:r w:rsidRPr="00AA4F75">
        <w:t>This section primarily draws on social anthropologist Richards Jenkins’ theoretical work on social identity. According to Jenkins (2004), identity does not exist in itself, but it is created through interaction with others. “[A]ll human identities are by definition social identities. Identifying ourselves or others is a matter of meaning, and meaning always involves interaction, agreement and disagreement, convention and innovation, communication and negotiation” (Jenkins, 2004, p. 4). He further stresses that the concept of identification is neither positive nor negative, but that identity is often constructed in opposition to a negative position (Jenkins, 2004). Identity and its creation (identification) are therefore social processes, continuously changing and in need of confirmation between individuals in order to persist over time. Other studies with social constructivist views on identity have shown that the process of becoming a psychiatric patient is complex, shaped by the actions of both the patient and the health care professionals (Blackman, 2007; Estroff, 1981; Georgaca, 2013; Terkelsen, 2009).</w:t>
      </w:r>
    </w:p>
    <w:p w:rsidR="00480DAD" w:rsidRPr="00AA4F75" w:rsidRDefault="00F65D15" w:rsidP="003B55D0">
      <w:pPr>
        <w:spacing w:line="480" w:lineRule="auto"/>
        <w:ind w:firstLine="720"/>
      </w:pPr>
      <w:r w:rsidRPr="00AA4F75">
        <w:t>Framed by social identity theory, this analysis proposes that Mr Adler and OT Lichter exist within a relationship where they both create and confirm each other’s identity. Also presented is the argument that identity shapes how a person will participate within occupation; how this participation is understood is a dialectic process whereby an identification process occurs and identity is internalized. The mutual identification process involves both Mr Adler and OT Lichter constructing and positioning each other respectively as patient and healthcare professional.</w:t>
      </w:r>
    </w:p>
    <w:p w:rsidR="00480DAD" w:rsidRPr="00AA4F75" w:rsidRDefault="00F65D15" w:rsidP="003B55D0">
      <w:pPr>
        <w:spacing w:line="480" w:lineRule="auto"/>
        <w:ind w:firstLine="720"/>
      </w:pPr>
      <w:r w:rsidRPr="00AA4F75">
        <w:t>OT Lichter initiates the kitchen group and addresses Mr Adler while he is wandering around in the hallway. “It is time for cooking group now” implies that Mr Adler is expected to attend and participate. Notable in this example is the way OT Lichter addresses Mr Adler; he is not wondering whether Mr Adler is going to participate in the kitchen group. Rather, by just saying “It is time for cooking group now” OT Lichter is presenting an expectation rather than providing a choice. As such, OT Lichter positions himself as the professional, the one in possession of control. Mr Adler in turn, is reminded that he is the patient and is not perhaps at liberty to decide on his participation in the preparation of the goulash. The cooking group might be a relatively routine occupation on this ward but OT Lichter’s choice of intervention in combination with the manner by which he addresses Mr Adler highlights an example of how identity can be constructed in practice.</w:t>
      </w:r>
    </w:p>
    <w:p w:rsidR="00480DAD" w:rsidRPr="00AA4F75" w:rsidRDefault="00F65D15" w:rsidP="003B55D0">
      <w:pPr>
        <w:spacing w:line="480" w:lineRule="auto"/>
        <w:ind w:firstLine="720"/>
      </w:pPr>
      <w:r w:rsidRPr="00AA4F75">
        <w:t>Considering the normativity of this cooking experience further is the collective nature of this occupation. Cooking in a group is not often typical practice for most people, and yet, despite leaving the kitchen several times, Mr Adler is strongly encouraged to participate. Additionally, if this was a ‘normal’ cooking occupation, all participants would have free access to the knives rather than having them provided and removed by the staff. These practices provide further identification of social position between and within the relationships on the psychiatric ward; Mr Adler is positioned as a patient in need of therapy that is determined by the professional, OT Lichter.</w:t>
      </w:r>
    </w:p>
    <w:p w:rsidR="00480DAD" w:rsidRPr="00AA4F75" w:rsidRDefault="00F65D15" w:rsidP="003B55D0">
      <w:pPr>
        <w:spacing w:line="480" w:lineRule="auto"/>
        <w:ind w:firstLine="720"/>
      </w:pPr>
      <w:r w:rsidRPr="00AA4F75">
        <w:t>By focusing on the cooking session and the intended or actual outcome of this occupation, whether the onion gets burned or not, OT Lichter’s objectives appear to supercede those of Mr Adler’s. Consequently, the identification process continues. Mr Adler’s non-participation or perceived reluctance to engage in this cooking group positions him ‘outside’ the small community of patients on the ward. According to Jenkins (2004), an external comparison exists within the identification process, influenced by how an individual is included (or by default, excluded) from social communities. The repeated arrival and departure of Mr Adler in the cooking session suggests his identification as a member of the ‘community’ has not yet been internalised for the group and Mr Adler, thereby positioning and identifying him as different from the other patients.</w:t>
      </w:r>
    </w:p>
    <w:p w:rsidR="00480DAD" w:rsidRPr="00AA4F75" w:rsidRDefault="00F65D15" w:rsidP="003B55D0">
      <w:pPr>
        <w:spacing w:line="480" w:lineRule="auto"/>
        <w:ind w:firstLine="720"/>
      </w:pPr>
      <w:r w:rsidRPr="00AA4F75">
        <w:t>As demonstrated, in the collective cooking occupation, several episodes occurred that Jenkins (2004) might consider central to identification, occurring when a certain relationship corroborates a specific identity. Another example that appears to bridge both the power hierarchy and the positionality within communities occurs when Mr Adler leaves the kitchen and another patient attempted to take over chopping the onion. OT Lichter addresses the other patients with the words “no, the onions are Mr Adler’s task now.” With this statement, OT Lichter implies and enacts power to gain influence on how the group should proceed. This is also an illustration of how the patients construct their collective and respective relational identities. They try to involve Mr Adler by handing him an onion to peel and in doing so, attempt to identify Mr Adler as one of them and OT Lichter as the person in control.</w:t>
      </w:r>
    </w:p>
    <w:p w:rsidR="00480DAD" w:rsidRPr="00AA4F75" w:rsidRDefault="00F65D15" w:rsidP="003B55D0">
      <w:pPr>
        <w:spacing w:line="480" w:lineRule="auto"/>
        <w:ind w:firstLine="720"/>
      </w:pPr>
      <w:r w:rsidRPr="00AA4F75">
        <w:t>“Group identity is the product of collective internal definition […] thus categorization is also a general interactional process, this time of collective external definition” (Jenkins, 2004, p. 84). The identification processes therefore requires group members to agree on what they have in common and what is needed to be a part of the group. In this event, what it means to participate in the cooking session. What is at stake then is relationally layered and contextually constructed. In the data set we can see the identification process between OT Lichter and Mr Adler existing alongside the patient group identity of Mr Adler. To his fellow cooking group participants, he is ‘one of them’ and yet through his struggle to remain in the kitchen, he is concurrently set apart from this collective group, excluded from the active participation and therefore identification that OT Lichter expects of him.</w:t>
      </w:r>
    </w:p>
    <w:p w:rsidR="00480DAD" w:rsidRPr="00AA4F75" w:rsidRDefault="00480DAD" w:rsidP="003B55D0">
      <w:pPr>
        <w:spacing w:line="480" w:lineRule="auto"/>
      </w:pPr>
    </w:p>
    <w:p w:rsidR="00480DAD" w:rsidRPr="00AA4F75" w:rsidRDefault="00F65D15" w:rsidP="003B55D0">
      <w:pPr>
        <w:spacing w:line="480" w:lineRule="auto"/>
        <w:rPr>
          <w:b/>
        </w:rPr>
      </w:pPr>
      <w:r w:rsidRPr="00AA4F75">
        <w:rPr>
          <w:b/>
        </w:rPr>
        <w:t>Discussion</w:t>
      </w:r>
    </w:p>
    <w:p w:rsidR="00480DAD" w:rsidRPr="00AA4F75" w:rsidRDefault="00F65D15" w:rsidP="003B55D0">
      <w:pPr>
        <w:spacing w:line="480" w:lineRule="auto"/>
        <w:ind w:firstLine="720"/>
        <w:rPr>
          <w:strike/>
        </w:rPr>
      </w:pPr>
      <w:r w:rsidRPr="00AA4F75">
        <w:t>Experimenting with different analytical approaches to occupation derived from a single data set invites new insights and inspiration for alternating or even contradicting perspectives</w:t>
      </w:r>
      <w:r w:rsidR="009108C3">
        <w:t>,</w:t>
      </w:r>
      <w:r w:rsidRPr="00AA4F75">
        <w:t xml:space="preserve"> in addition to tolerating the uncertainties related to such an endeavour. Most researchers are familiar with the mix of anticipation and anxiety when sharing their data and analysis with colleagues, invoking questions to oneself such as “how relevant will my objective be to anyone else but me?” “Can I add something they, the field or peers, do not already know?” </w:t>
      </w:r>
    </w:p>
    <w:p w:rsidR="00480DAD" w:rsidRPr="00AA4F75" w:rsidRDefault="00F65D15" w:rsidP="003B55D0">
      <w:pPr>
        <w:spacing w:line="480" w:lineRule="auto"/>
        <w:ind w:firstLine="720"/>
      </w:pPr>
      <w:r w:rsidRPr="00AA4F75">
        <w:t xml:space="preserve">Furthermore, within the authors’ interdisciplinary conversations across three countries that included English translation of data and literature, we might even ask whether the primary field note data was similarly understood. More critically, can </w:t>
      </w:r>
      <w:r w:rsidR="0067241C">
        <w:t>true comprehension or understanding within and across data ever be ascertained?</w:t>
      </w:r>
      <w:r w:rsidRPr="00AA4F75">
        <w:t xml:space="preserve"> With occupation as the unit of analysis, co-laboration and multi-vocality suggests the utility of multiple perspectives to coexist.</w:t>
      </w:r>
    </w:p>
    <w:p w:rsidR="00480DAD" w:rsidRPr="00AA4F75" w:rsidRDefault="00F65D15" w:rsidP="003B55D0">
      <w:pPr>
        <w:spacing w:line="480" w:lineRule="auto"/>
        <w:ind w:firstLine="720"/>
      </w:pPr>
      <w:r w:rsidRPr="00AA4F75">
        <w:t>When thinking through the meanings of occupation within practices and its embeddedness in social interaction and sociomateriality in different mother tongues, local and disciplinary knowledges and theoretical considerations became entwined. The deconstruction of cooking as the analysed occupation transcends language fluency, however the exploration and representation of occupation and its complexity is not routinely multi-vocal. Consequently, the contribution here is akin to the onion in the goulash recipe, layered and relational. Cutting through the layers, like a knife through an onion, co-laborative analysis exposes and makes new considerations and details available for examination. Layers can be understood on their own or how they collectively relate to each other as different representations, paralleling the traditional practice of considering the components of occupation itself. There is no singular or holistic ‘truth’ in co-laborative analysis; the collective examination of a single occupation reveals a nuanced and layered contextual and socio-materiality understanding. The call for occupational science to ‘transcend the individual’ is not only an invitation to focus on occupation through social interactions, but is also a call for comparison and connection with theoretical and analytic ontologies.</w:t>
      </w:r>
    </w:p>
    <w:p w:rsidR="00480DAD" w:rsidRPr="00AA4F75" w:rsidRDefault="00107196" w:rsidP="003B55D0">
      <w:pPr>
        <w:spacing w:line="480" w:lineRule="auto"/>
        <w:ind w:firstLine="720"/>
      </w:pPr>
      <w:r w:rsidRPr="00AA4F75">
        <w:t>The analysis by Elliot</w:t>
      </w:r>
      <w:r w:rsidR="00F65D15" w:rsidRPr="00AA4F75">
        <w:t xml:space="preserve"> and</w:t>
      </w:r>
      <w:r w:rsidRPr="00AA4F75">
        <w:t xml:space="preserve"> Mewes</w:t>
      </w:r>
      <w:r w:rsidR="00F65D15" w:rsidRPr="00AA4F75">
        <w:t xml:space="preserve"> stresses the double-layered nature of occupational cooking groups consisting of the </w:t>
      </w:r>
      <w:r w:rsidR="00F65D15" w:rsidRPr="00AA4F75">
        <w:rPr>
          <w:i/>
        </w:rPr>
        <w:t>in-situ</w:t>
      </w:r>
      <w:r w:rsidR="00F65D15" w:rsidRPr="00AA4F75">
        <w:t xml:space="preserve"> practices of the therapeutic context itself and the simulated subjunctive of home; the ‘</w:t>
      </w:r>
      <w:r w:rsidR="00F65D15" w:rsidRPr="00AA4F75">
        <w:rPr>
          <w:i/>
        </w:rPr>
        <w:t>as if</w:t>
      </w:r>
      <w:r w:rsidR="00F65D15" w:rsidRPr="00AA4F75">
        <w:t>’ imagined and future possibilities of cooking at home. They highlight the relevance of the objects-in-use as constituting practices within the framing of figured worlds or establishing practice-material arrangements, and consider the normalising features of knives, stoves and recipes and others as tools of agency.</w:t>
      </w:r>
    </w:p>
    <w:p w:rsidR="00480DAD" w:rsidRPr="0067241C" w:rsidRDefault="00107196" w:rsidP="0067241C">
      <w:pPr>
        <w:spacing w:line="480" w:lineRule="auto"/>
        <w:ind w:firstLine="720"/>
        <w:rPr>
          <w:strike/>
        </w:rPr>
      </w:pPr>
      <w:r w:rsidRPr="00AA4F75">
        <w:rPr>
          <w:highlight w:val="white"/>
        </w:rPr>
        <w:t>Lee</w:t>
      </w:r>
      <w:r w:rsidR="00F65D15" w:rsidRPr="00AA4F75">
        <w:rPr>
          <w:highlight w:val="white"/>
        </w:rPr>
        <w:t xml:space="preserve"> </w:t>
      </w:r>
      <w:r w:rsidR="00F65D15" w:rsidRPr="00AA4F75">
        <w:t xml:space="preserve">and </w:t>
      </w:r>
      <w:r w:rsidRPr="00AA4F75">
        <w:t>Elliot</w:t>
      </w:r>
      <w:r w:rsidR="0067241C">
        <w:t>’s approaches we</w:t>
      </w:r>
      <w:r w:rsidR="00F65D15" w:rsidRPr="00AA4F75">
        <w:t>re both concerned with the construction of identities within social interaction. Arguing in their respectiv</w:t>
      </w:r>
      <w:r w:rsidR="00053004">
        <w:t>e theoretical frameworks they ca</w:t>
      </w:r>
      <w:r w:rsidR="00F65D15" w:rsidRPr="00AA4F75">
        <w:t xml:space="preserve">me to different conclusions. </w:t>
      </w:r>
      <w:r w:rsidRPr="00AA4F75">
        <w:rPr>
          <w:highlight w:val="white"/>
        </w:rPr>
        <w:t>Elliot</w:t>
      </w:r>
      <w:r w:rsidR="00F65D15" w:rsidRPr="00AA4F75">
        <w:rPr>
          <w:highlight w:val="white"/>
        </w:rPr>
        <w:t xml:space="preserve"> </w:t>
      </w:r>
      <w:r w:rsidR="00F65D15" w:rsidRPr="00AA4F75">
        <w:t>proposed that Mr Adler’s enacted involvement and positional i</w:t>
      </w:r>
      <w:r w:rsidR="00053004">
        <w:t>dentity in the cooking group wa</w:t>
      </w:r>
      <w:r w:rsidR="00F65D15" w:rsidRPr="00AA4F75">
        <w:t xml:space="preserve">s informed by the cultural boundedness of the biomedically constructed context. Alternatively, </w:t>
      </w:r>
      <w:r w:rsidRPr="00AA4F75">
        <w:t>through social identity theory, Lee</w:t>
      </w:r>
      <w:r w:rsidR="00F65D15" w:rsidRPr="00AA4F75">
        <w:rPr>
          <w:highlight w:val="white"/>
        </w:rPr>
        <w:t xml:space="preserve"> </w:t>
      </w:r>
      <w:r w:rsidR="00053004">
        <w:rPr>
          <w:highlight w:val="white"/>
        </w:rPr>
        <w:t>offered</w:t>
      </w:r>
      <w:r w:rsidR="00F65D15" w:rsidRPr="00AA4F75">
        <w:rPr>
          <w:highlight w:val="white"/>
        </w:rPr>
        <w:t xml:space="preserve"> that Mr Adler’s identity is a relational construction and the degree of agency afforded to him in this context derives from his position as patient.</w:t>
      </w:r>
      <w:r w:rsidR="0067241C">
        <w:t xml:space="preserve"> </w:t>
      </w:r>
      <w:r w:rsidRPr="00AA4F75">
        <w:t>As well</w:t>
      </w:r>
      <w:r w:rsidR="0067241C">
        <w:t>,</w:t>
      </w:r>
      <w:r w:rsidRPr="00AA4F75">
        <w:t xml:space="preserve"> Lee</w:t>
      </w:r>
      <w:r w:rsidR="00F65D15" w:rsidRPr="00AA4F75">
        <w:rPr>
          <w:highlight w:val="white"/>
        </w:rPr>
        <w:t xml:space="preserve"> </w:t>
      </w:r>
      <w:r w:rsidR="00F65D15" w:rsidRPr="00AA4F75">
        <w:t xml:space="preserve">and </w:t>
      </w:r>
      <w:r w:rsidRPr="00AA4F75">
        <w:t>Mewes</w:t>
      </w:r>
      <w:r w:rsidR="00F65D15" w:rsidRPr="00AA4F75">
        <w:rPr>
          <w:highlight w:val="white"/>
        </w:rPr>
        <w:t xml:space="preserve"> </w:t>
      </w:r>
      <w:r w:rsidR="0067241C">
        <w:t>had</w:t>
      </w:r>
      <w:r w:rsidR="00F65D15" w:rsidRPr="00AA4F75">
        <w:t xml:space="preserve"> different theoretical perspectives on the forms of enablement that emerge through normalizing and routinizing practices in the cooking </w:t>
      </w:r>
      <w:r w:rsidRPr="00AA4F75">
        <w:t>group. Lee</w:t>
      </w:r>
      <w:r w:rsidR="00F65D15" w:rsidRPr="00AA4F75">
        <w:rPr>
          <w:highlight w:val="white"/>
        </w:rPr>
        <w:t xml:space="preserve"> </w:t>
      </w:r>
      <w:r w:rsidR="0067241C">
        <w:t>conceived</w:t>
      </w:r>
      <w:r w:rsidR="00F65D15" w:rsidRPr="00AA4F75">
        <w:t xml:space="preserve"> of these practices as part of an identification process within which the control possessed by OT Lichter necessarily leads towards group identity inclusion and exclusion. </w:t>
      </w:r>
      <w:r w:rsidRPr="00AA4F75">
        <w:t>Mewes</w:t>
      </w:r>
      <w:r w:rsidR="0067241C">
        <w:t>'</w:t>
      </w:r>
      <w:r w:rsidR="00F65D15" w:rsidRPr="00AA4F75">
        <w:t xml:space="preserve"> adoption of pract</w:t>
      </w:r>
      <w:r w:rsidR="0067241C">
        <w:t>ice-material arrangement revealed</w:t>
      </w:r>
      <w:r w:rsidR="00F65D15" w:rsidRPr="00AA4F75">
        <w:t xml:space="preserve"> consideration of multiple layers of normativity. The occupations</w:t>
      </w:r>
      <w:r w:rsidR="0067241C">
        <w:t xml:space="preserve"> on the ward in which Mr Adler wa</w:t>
      </w:r>
      <w:r w:rsidR="00F65D15" w:rsidRPr="00AA4F75">
        <w:t>s to participate and the imagined future in which the same occupation occurs in his own kitchen occur simultaneously yet are constructed collectively rather than individually. This suggests that the occupatio</w:t>
      </w:r>
      <w:r w:rsidR="0067241C">
        <w:t>n in the cooking group itself</w:t>
      </w:r>
      <w:r w:rsidR="00F65D15" w:rsidRPr="00AA4F75">
        <w:t xml:space="preserve"> remain</w:t>
      </w:r>
      <w:r w:rsidR="0067241C">
        <w:t>ed</w:t>
      </w:r>
      <w:r w:rsidR="00F65D15" w:rsidRPr="00AA4F75">
        <w:t xml:space="preserve"> an ‘</w:t>
      </w:r>
      <w:r w:rsidR="00F65D15" w:rsidRPr="00AA4F75">
        <w:rPr>
          <w:i/>
        </w:rPr>
        <w:t>as-if’</w:t>
      </w:r>
      <w:r w:rsidR="00F65D15" w:rsidRPr="00AA4F75">
        <w:t>-occupation pointing towards a ‘real’ future occupation outs</w:t>
      </w:r>
      <w:r w:rsidR="0067241C">
        <w:t>ide of the hospital yet stressed</w:t>
      </w:r>
      <w:r w:rsidR="00F65D15" w:rsidRPr="00AA4F75">
        <w:t xml:space="preserve"> how occupational therapy understands occupation as a socially embedded enterprise. </w:t>
      </w:r>
    </w:p>
    <w:p w:rsidR="00480DAD" w:rsidRPr="00AA4F75" w:rsidRDefault="00F65D15" w:rsidP="003B55D0">
      <w:pPr>
        <w:spacing w:line="480" w:lineRule="auto"/>
        <w:ind w:firstLine="720"/>
      </w:pPr>
      <w:r w:rsidRPr="00AA4F75">
        <w:t>The adoption of a multi-vocal and co-laborative approach as presented here is intended to further occupational science discourse into alternate theoretical conceptualisations of everyday practices where positionality is considered objectively and subjectively. The authors acknowledge the limitations existent with</w:t>
      </w:r>
      <w:r w:rsidR="00053004">
        <w:t>in</w:t>
      </w:r>
      <w:r w:rsidRPr="00AA4F75">
        <w:t xml:space="preserve"> such an approach. The a</w:t>
      </w:r>
      <w:r w:rsidR="00053004">
        <w:t>doption of different 'frames' through</w:t>
      </w:r>
      <w:r w:rsidRPr="00AA4F75">
        <w:t xml:space="preserve"> which to consider the data may seem convenient; not all dimensions of a theoretical perspective are relevant or appropriate but selective inclusions can be presented as if they are. Balancing multiple voices that have their own socialised and relational identities is iterative and ongoing and not without its own necessary analysis (Lingard et al., 2007). The authors therefore suggest that alongside a deeper exploration of occupation must be critical examination of the methods adopted in this pursuit.</w:t>
      </w:r>
    </w:p>
    <w:p w:rsidR="00480DAD" w:rsidRPr="00AA4F75" w:rsidRDefault="00F65D15" w:rsidP="003B55D0">
      <w:pPr>
        <w:spacing w:line="480" w:lineRule="auto"/>
      </w:pPr>
      <w:r w:rsidRPr="00AA4F75">
        <w:t xml:space="preserve"> </w:t>
      </w:r>
    </w:p>
    <w:p w:rsidR="00480DAD" w:rsidRPr="00AA4F75" w:rsidRDefault="00F65D15" w:rsidP="003B55D0">
      <w:pPr>
        <w:spacing w:line="480" w:lineRule="auto"/>
        <w:rPr>
          <w:b/>
        </w:rPr>
      </w:pPr>
      <w:r w:rsidRPr="00AA4F75">
        <w:rPr>
          <w:b/>
        </w:rPr>
        <w:t>Conclusion</w:t>
      </w:r>
    </w:p>
    <w:p w:rsidR="00480DAD" w:rsidRPr="00AA4F75" w:rsidRDefault="00F65D15" w:rsidP="003B55D0">
      <w:pPr>
        <w:spacing w:line="480" w:lineRule="auto"/>
        <w:ind w:firstLine="720"/>
      </w:pPr>
      <w:r w:rsidRPr="00AA4F75">
        <w:t>The analysis presented in this paper is an appropriation of ‘co-laborative’ working (Niewöhner, 2016). It recognises the iterative nature of the development of knowledge yet is a deviation from Niewöhner’s non-teleological conceptualisation. We have adopted an approach that recognises an intentional and transparent albeit temporary engagement in analytic collaboration. Nevertheless, we argue that multi-vocal ethnographic analysis might be a way to produce alternating disciplinary reflexivities; cutting through the layers to construct different perspectives on occupation.</w:t>
      </w:r>
    </w:p>
    <w:p w:rsidR="00480DAD" w:rsidRPr="00AA4F75" w:rsidRDefault="00F65D15" w:rsidP="003B55D0">
      <w:pPr>
        <w:spacing w:line="480" w:lineRule="auto"/>
        <w:ind w:firstLine="720"/>
      </w:pPr>
      <w:r w:rsidRPr="00AA4F75">
        <w:t>Multi-vocal ethnographic analyses bridge both social anthropological and occupational science interests in the practices of the ‘every day</w:t>
      </w:r>
      <w:r w:rsidR="00B46E68" w:rsidRPr="00AA4F75">
        <w:t>.</w:t>
      </w:r>
      <w:r w:rsidRPr="00AA4F75">
        <w:t>’ Introducing different conceptual modes and theoretical underpinnings to the analysis of a single data set permits a process of contrasting and relating to different layers of the understanding of occupation. A single cooking event may be a ‘simple’ daily occupation. However the construction of its meaning and significance is dependent upon the theoretical and disciplinary perspectives from which it is examined, the social positioning and identity of the actors (including the researchers) and the objects involved and the co-laborative process by which its analysis is undertaken. Introducing a co-laborative interdisciplinary approach is thus furthering the appreciation for the complexity of occupation and its multiple representations in everyday occupation.</w:t>
      </w:r>
    </w:p>
    <w:p w:rsidR="00480DAD" w:rsidRPr="00AA4F75" w:rsidRDefault="00F65D15" w:rsidP="003B55D0">
      <w:pPr>
        <w:spacing w:line="480" w:lineRule="auto"/>
        <w:ind w:firstLine="720"/>
        <w:rPr>
          <w:strike/>
        </w:rPr>
      </w:pPr>
      <w:r w:rsidRPr="00AA4F75">
        <w:t>One of our main arguments is that there is value in acknowledging what can be understood about occupation by considering and articulating the process of analysis. The chosen theoretical and analytic frames adopted, presumed associations, symbols of and practices embedded in sociomateriality and where the empirical gaze is intentionally directed are all variables that contribute to the construction of any understanding of occupation. The intention of approaching this ethnographic data multi-vocally was not about finding a single representation. Instead of aiming for a consistent story of “what really happened,” we were interested in representing the variety of epistemologies that can be used to understand a single occupation. Tolerating ambiguity within multi-vocal perspectives and adopting a position of uncertainty as part of the analytic process has been highlighted and the authors propose that such approaches contribute a unique empirical framing for the study of occupation.</w:t>
      </w:r>
    </w:p>
    <w:p w:rsidR="001019D4" w:rsidRPr="00AA4F75" w:rsidRDefault="001019D4" w:rsidP="003B55D0">
      <w:pPr>
        <w:spacing w:line="480" w:lineRule="auto"/>
        <w:rPr>
          <w:b/>
        </w:rPr>
      </w:pPr>
    </w:p>
    <w:p w:rsidR="001019D4" w:rsidRPr="00AA4F75" w:rsidRDefault="001019D4" w:rsidP="003B55D0">
      <w:pPr>
        <w:spacing w:line="480" w:lineRule="auto"/>
        <w:rPr>
          <w:b/>
        </w:rPr>
      </w:pPr>
    </w:p>
    <w:p w:rsidR="00107196" w:rsidRPr="00AA4F75" w:rsidRDefault="00107196" w:rsidP="003B55D0">
      <w:pPr>
        <w:spacing w:line="480" w:lineRule="auto"/>
        <w:rPr>
          <w:b/>
        </w:rPr>
      </w:pPr>
    </w:p>
    <w:p w:rsidR="00480DAD" w:rsidRPr="00AA4F75" w:rsidRDefault="00F65D15" w:rsidP="00F65D15">
      <w:pPr>
        <w:spacing w:line="240" w:lineRule="auto"/>
        <w:rPr>
          <w:b/>
        </w:rPr>
      </w:pPr>
      <w:r w:rsidRPr="00AA4F75">
        <w:rPr>
          <w:b/>
        </w:rPr>
        <w:t xml:space="preserve">References </w:t>
      </w:r>
    </w:p>
    <w:p w:rsidR="00480DAD" w:rsidRPr="00AA4F75" w:rsidRDefault="00480DAD" w:rsidP="00F65D15">
      <w:pPr>
        <w:spacing w:line="240" w:lineRule="auto"/>
      </w:pPr>
    </w:p>
    <w:p w:rsidR="00B46E68" w:rsidRPr="00AA4F75" w:rsidRDefault="00B46E68" w:rsidP="00F65D15">
      <w:pPr>
        <w:spacing w:line="240" w:lineRule="auto"/>
        <w:ind w:left="567" w:hanging="567"/>
        <w:rPr>
          <w:color w:val="1155CC"/>
          <w:u w:val="single"/>
        </w:rPr>
      </w:pPr>
      <w:r w:rsidRPr="00AA4F75">
        <w:t xml:space="preserve">American Anthropological Association. (2009). </w:t>
      </w:r>
      <w:r w:rsidRPr="00AA4F75">
        <w:rPr>
          <w:i/>
        </w:rPr>
        <w:t>Code of Ethics of the American Anthropological Association.</w:t>
      </w:r>
      <w:r w:rsidRPr="00AA4F75">
        <w:t xml:space="preserve"> Retrieved from </w:t>
      </w:r>
      <w:hyperlink r:id="rId4">
        <w:r w:rsidRPr="00AA4F75">
          <w:rPr>
            <w:color w:val="1155CC"/>
            <w:u w:val="single"/>
          </w:rPr>
          <w:t>http://www.aaanet.org/stmts/ethstmnt.htm</w:t>
        </w:r>
      </w:hyperlink>
    </w:p>
    <w:p w:rsidR="00480DAD" w:rsidRPr="00AA4F75" w:rsidRDefault="00F65D15" w:rsidP="00F65D15">
      <w:pPr>
        <w:spacing w:line="240" w:lineRule="auto"/>
        <w:ind w:left="567" w:hanging="567"/>
      </w:pPr>
      <w:r w:rsidRPr="00AA4F75">
        <w:t xml:space="preserve">Angell, A. M. (2014). Occupation-centered analysis of social difference: Contributions to a socially responsive occupational science. </w:t>
      </w:r>
      <w:r w:rsidRPr="00AA4F75">
        <w:rPr>
          <w:i/>
        </w:rPr>
        <w:t>Journal of Occupational Science, 21</w:t>
      </w:r>
      <w:r w:rsidRPr="00AA4F75">
        <w:t>(2), 104-116. doi:10.1080/14427591.2012.711230</w:t>
      </w:r>
    </w:p>
    <w:p w:rsidR="00480DAD" w:rsidRPr="00AA4F75" w:rsidRDefault="00F65D15" w:rsidP="00F65D15">
      <w:pPr>
        <w:spacing w:line="240" w:lineRule="auto"/>
        <w:ind w:left="567" w:hanging="567"/>
      </w:pPr>
      <w:r w:rsidRPr="00AA4F75">
        <w:t xml:space="preserve">Beck, S. (1997). </w:t>
      </w:r>
      <w:r w:rsidRPr="00AA4F75">
        <w:rPr>
          <w:i/>
        </w:rPr>
        <w:t>Umgang mit technik: kulturelle praktiken und kulturwissenschaftliche forschungskonzepte</w:t>
      </w:r>
      <w:r w:rsidRPr="00AA4F75">
        <w:t>. Berlin: Akademie Verlag.</w:t>
      </w:r>
    </w:p>
    <w:p w:rsidR="00480DAD" w:rsidRPr="00AA4F75" w:rsidRDefault="00F65D15" w:rsidP="00F65D15">
      <w:pPr>
        <w:spacing w:line="240" w:lineRule="auto"/>
        <w:ind w:left="567" w:hanging="567"/>
      </w:pPr>
      <w:r w:rsidRPr="00AA4F75">
        <w:t xml:space="preserve">Beck, S., Niewöhner, J., &amp; Sørensen, E. (Eds.). (2012). </w:t>
      </w:r>
      <w:r w:rsidRPr="00AA4F75">
        <w:rPr>
          <w:i/>
        </w:rPr>
        <w:t>Science and technology studies. Eine sozialanthropologische Einführung</w:t>
      </w:r>
      <w:r w:rsidRPr="00AA4F75">
        <w:t>. Bielefeld: transcript.</w:t>
      </w:r>
    </w:p>
    <w:p w:rsidR="00480DAD" w:rsidRPr="00AA4F75" w:rsidRDefault="00F65D15" w:rsidP="00F65D15">
      <w:pPr>
        <w:spacing w:line="240" w:lineRule="auto"/>
        <w:ind w:left="567" w:hanging="567"/>
      </w:pPr>
      <w:r w:rsidRPr="00AA4F75">
        <w:t xml:space="preserve">Blackman, L. (2007). Psychiatric culture and bodies of resistance. </w:t>
      </w:r>
      <w:r w:rsidRPr="00AA4F75">
        <w:rPr>
          <w:i/>
        </w:rPr>
        <w:t>Body &amp; Society, 13</w:t>
      </w:r>
      <w:r w:rsidRPr="00AA4F75">
        <w:t>, 1-23. doi:10.1177/1357034X07077770</w:t>
      </w:r>
    </w:p>
    <w:p w:rsidR="00480DAD" w:rsidRPr="00AA4F75" w:rsidRDefault="00F65D15" w:rsidP="00F65D15">
      <w:pPr>
        <w:spacing w:line="240" w:lineRule="auto"/>
        <w:ind w:left="567" w:hanging="567"/>
      </w:pPr>
      <w:r w:rsidRPr="00AA4F75">
        <w:t xml:space="preserve">Bourdieu, P. (1977). </w:t>
      </w:r>
      <w:r w:rsidRPr="00AA4F75">
        <w:rPr>
          <w:i/>
        </w:rPr>
        <w:t>Outline of a theory of practice</w:t>
      </w:r>
      <w:r w:rsidRPr="00AA4F75">
        <w:t>. Cambridge: Cambridge University Press.</w:t>
      </w:r>
    </w:p>
    <w:p w:rsidR="00480DAD" w:rsidRPr="00AA4F75" w:rsidRDefault="00F65D15" w:rsidP="00F65D15">
      <w:pPr>
        <w:spacing w:line="240" w:lineRule="auto"/>
        <w:ind w:left="567" w:hanging="567"/>
      </w:pPr>
      <w:r w:rsidRPr="00AA4F75">
        <w:t xml:space="preserve">Bourdieu, P. (1984). </w:t>
      </w:r>
      <w:r w:rsidRPr="00AA4F75">
        <w:rPr>
          <w:i/>
        </w:rPr>
        <w:t>Distinction: A social critique of the judgement of taste</w:t>
      </w:r>
      <w:r w:rsidRPr="00AA4F75">
        <w:t>. Cambridge MA: Harvard University Press.</w:t>
      </w:r>
    </w:p>
    <w:p w:rsidR="00480DAD" w:rsidRPr="00AA4F75" w:rsidRDefault="00F65D15" w:rsidP="00F65D15">
      <w:pPr>
        <w:spacing w:line="240" w:lineRule="auto"/>
        <w:ind w:left="567" w:hanging="567"/>
      </w:pPr>
      <w:r w:rsidRPr="00AA4F75">
        <w:t xml:space="preserve">Brücher, K. (2005). </w:t>
      </w:r>
      <w:r w:rsidRPr="00AA4F75">
        <w:rPr>
          <w:i/>
        </w:rPr>
        <w:t>Therapeutische räume - Zur theorie und praxis therapeutischer interaktion</w:t>
      </w:r>
      <w:r w:rsidRPr="00AA4F75">
        <w:t>. Neu-Ulm: Spektrum Akademischer Verlag.</w:t>
      </w:r>
    </w:p>
    <w:p w:rsidR="00480DAD" w:rsidRPr="00AA4F75" w:rsidRDefault="00F65D15" w:rsidP="00F65D15">
      <w:pPr>
        <w:spacing w:line="240" w:lineRule="auto"/>
        <w:ind w:left="567" w:hanging="567"/>
      </w:pPr>
      <w:r w:rsidRPr="00AA4F75">
        <w:t>Cain, C. (1991). Personal stories: Identity acquisition and self</w:t>
      </w:r>
      <w:r w:rsidRPr="00AA4F75">
        <w:rPr>
          <w:rFonts w:ascii="Times New Roman" w:eastAsia="Times New Roman" w:hAnsi="Times New Roman" w:cs="Times New Roman"/>
        </w:rPr>
        <w:t>‐</w:t>
      </w:r>
      <w:r w:rsidRPr="00AA4F75">
        <w:t xml:space="preserve">understanding in Alcoholics Anonymous. </w:t>
      </w:r>
      <w:r w:rsidRPr="00AA4F75">
        <w:rPr>
          <w:i/>
        </w:rPr>
        <w:t>Ethos, 19</w:t>
      </w:r>
      <w:r w:rsidRPr="00AA4F75">
        <w:t>(2), 210-253. doi:10.1525/eth.1991.19.2.02a00040</w:t>
      </w:r>
    </w:p>
    <w:p w:rsidR="00480DAD" w:rsidRPr="00AA4F75" w:rsidRDefault="00F65D15" w:rsidP="00F65D15">
      <w:pPr>
        <w:spacing w:line="240" w:lineRule="auto"/>
        <w:ind w:left="567" w:hanging="567"/>
      </w:pPr>
      <w:r w:rsidRPr="00AA4F75">
        <w:t xml:space="preserve">Cogan, A. M. (2016). Community reintegration: Transition between the figured worlds of military and family life. </w:t>
      </w:r>
      <w:r w:rsidRPr="00AA4F75">
        <w:rPr>
          <w:i/>
        </w:rPr>
        <w:t>Journal of Occupational Science, 23</w:t>
      </w:r>
      <w:r w:rsidRPr="00AA4F75">
        <w:t>(2), 255-265. doi:10.1080/14427591.2015.1114509</w:t>
      </w:r>
    </w:p>
    <w:p w:rsidR="00480DAD" w:rsidRPr="00AA4F75" w:rsidRDefault="00F65D15" w:rsidP="00F65D15">
      <w:pPr>
        <w:spacing w:line="240" w:lineRule="auto"/>
        <w:ind w:left="567" w:hanging="567"/>
      </w:pPr>
      <w:r w:rsidRPr="00AA4F75">
        <w:t xml:space="preserve">Ek, L. D., &amp; Domínguez Chávez, G. (2015). Proyecto bilingüe: Constructing a figured world of bilingual education for Latina/o bilingual teachers. </w:t>
      </w:r>
      <w:r w:rsidRPr="00AA4F75">
        <w:rPr>
          <w:i/>
        </w:rPr>
        <w:t>Bilingual Research Journal, 38</w:t>
      </w:r>
      <w:r w:rsidRPr="00AA4F75">
        <w:t>(2), 134-151. doi:10.1080/15235882.2015.1064834</w:t>
      </w:r>
    </w:p>
    <w:p w:rsidR="00480DAD" w:rsidRPr="00AA4F75" w:rsidRDefault="00F65D15" w:rsidP="00F65D15">
      <w:pPr>
        <w:spacing w:line="240" w:lineRule="auto"/>
        <w:ind w:left="567" w:hanging="567"/>
      </w:pPr>
      <w:r w:rsidRPr="00AA4F75">
        <w:t xml:space="preserve">Elliot, M. L. (2012). Figured world of eating disorders: Occupations of illness. </w:t>
      </w:r>
      <w:r w:rsidRPr="00AA4F75">
        <w:rPr>
          <w:i/>
        </w:rPr>
        <w:t>Canadian Journal of Occupational Therapy, 79</w:t>
      </w:r>
      <w:r w:rsidRPr="00AA4F75">
        <w:t>(1), 15-22. doi:10.2182/cjot.2012.79.1.3</w:t>
      </w:r>
    </w:p>
    <w:p w:rsidR="00480DAD" w:rsidRPr="00AA4F75" w:rsidRDefault="00F65D15" w:rsidP="00F65D15">
      <w:pPr>
        <w:spacing w:line="240" w:lineRule="auto"/>
        <w:ind w:left="567" w:hanging="567"/>
      </w:pPr>
      <w:r w:rsidRPr="00AA4F75">
        <w:t xml:space="preserve">Estroff, S. E. (1981). </w:t>
      </w:r>
      <w:r w:rsidRPr="00AA4F75">
        <w:rPr>
          <w:i/>
        </w:rPr>
        <w:t>Making it crazy. An ethnography of psychiatric clients in an American community</w:t>
      </w:r>
      <w:r w:rsidRPr="00AA4F75">
        <w:t>. Berkeley: University of California Press.</w:t>
      </w:r>
    </w:p>
    <w:p w:rsidR="00480DAD" w:rsidRPr="00AA4F75" w:rsidRDefault="00F65D15" w:rsidP="00F65D15">
      <w:pPr>
        <w:spacing w:line="240" w:lineRule="auto"/>
        <w:ind w:left="567" w:hanging="567"/>
      </w:pPr>
      <w:r w:rsidRPr="00AA4F75">
        <w:t xml:space="preserve">Farias, L., &amp; Rudman, D. L. (2016). A critical interpretive synthesis of the uptake of critical perspectives in occupational science. </w:t>
      </w:r>
      <w:r w:rsidRPr="00AA4F75">
        <w:rPr>
          <w:i/>
        </w:rPr>
        <w:t>Journal of Occupational Science, 23</w:t>
      </w:r>
      <w:r w:rsidRPr="00AA4F75">
        <w:t>(1), 33-50. doi:10.1080/14427591.2014.989893</w:t>
      </w:r>
    </w:p>
    <w:p w:rsidR="00480DAD" w:rsidRPr="00AA4F75" w:rsidRDefault="00F65D15" w:rsidP="00F65D15">
      <w:pPr>
        <w:spacing w:line="240" w:lineRule="auto"/>
        <w:ind w:left="567" w:hanging="567"/>
      </w:pPr>
      <w:r w:rsidRPr="00AA4F75">
        <w:t xml:space="preserve">Georgaca, E. (2013). Social constructionist contributions to critiques of psychiatric diagnosis and classification. </w:t>
      </w:r>
      <w:r w:rsidRPr="00AA4F75">
        <w:rPr>
          <w:i/>
        </w:rPr>
        <w:t>Feminism &amp; Psychology, 23</w:t>
      </w:r>
      <w:r w:rsidRPr="00AA4F75">
        <w:t>(1), 56-62. doi:10.1177/0959353512467967</w:t>
      </w:r>
    </w:p>
    <w:p w:rsidR="00480DAD" w:rsidRPr="00AA4F75" w:rsidRDefault="00F65D15" w:rsidP="00F65D15">
      <w:pPr>
        <w:spacing w:line="240" w:lineRule="auto"/>
        <w:ind w:left="567" w:hanging="567"/>
      </w:pPr>
      <w:r w:rsidRPr="00AA4F75">
        <w:t xml:space="preserve">Goffman, E. (1961). </w:t>
      </w:r>
      <w:r w:rsidRPr="00AA4F75">
        <w:rPr>
          <w:i/>
        </w:rPr>
        <w:t xml:space="preserve">Asylums : Essays on the social situation of mental patients and other inmates </w:t>
      </w:r>
      <w:r w:rsidRPr="00AA4F75">
        <w:t>Harmondsworth: Penguin.</w:t>
      </w:r>
    </w:p>
    <w:p w:rsidR="00480DAD" w:rsidRPr="00AA4F75" w:rsidRDefault="00F65D15" w:rsidP="00F65D15">
      <w:pPr>
        <w:spacing w:line="240" w:lineRule="auto"/>
        <w:ind w:left="567" w:hanging="567"/>
      </w:pPr>
      <w:r w:rsidRPr="00AA4F75">
        <w:t xml:space="preserve">Henare, A., Holbraad, M., &amp; Wastell, S. (2007). </w:t>
      </w:r>
      <w:r w:rsidRPr="00AA4F75">
        <w:rPr>
          <w:i/>
        </w:rPr>
        <w:t>Thinking through things - Theorising artefacts ethnographically</w:t>
      </w:r>
      <w:r w:rsidRPr="00AA4F75">
        <w:t>. London: Routledge.</w:t>
      </w:r>
    </w:p>
    <w:p w:rsidR="00480DAD" w:rsidRPr="00AA4F75" w:rsidRDefault="00F65D15" w:rsidP="00F65D15">
      <w:pPr>
        <w:spacing w:line="240" w:lineRule="auto"/>
        <w:ind w:left="567" w:hanging="567"/>
      </w:pPr>
      <w:r w:rsidRPr="00AA4F75">
        <w:t xml:space="preserve">Holland, D., Lachicotte, W., Skinner, D. C., &amp; Cain, C. (1998). </w:t>
      </w:r>
      <w:r w:rsidRPr="00AA4F75">
        <w:rPr>
          <w:i/>
        </w:rPr>
        <w:t>Identity and agency in cultural worlds</w:t>
      </w:r>
      <w:r w:rsidRPr="00AA4F75">
        <w:t>. Cambridge, MA: Harvard University Press.</w:t>
      </w:r>
    </w:p>
    <w:p w:rsidR="00480DAD" w:rsidRPr="00AA4F75" w:rsidRDefault="00F65D15" w:rsidP="00F65D15">
      <w:pPr>
        <w:spacing w:line="240" w:lineRule="auto"/>
        <w:ind w:left="567" w:hanging="567"/>
      </w:pPr>
      <w:r w:rsidRPr="00AA4F75">
        <w:t xml:space="preserve">Holland, D., &amp; Skinner, D. (1997). The co-development of identity, agency, and lived worlds. In J. Tudge, M. Shanahan, &amp; J. Valsiner (Eds.), </w:t>
      </w:r>
      <w:r w:rsidRPr="00AA4F75">
        <w:rPr>
          <w:i/>
        </w:rPr>
        <w:t>Comparisons in human development: Understanding time and context</w:t>
      </w:r>
      <w:r w:rsidRPr="00AA4F75">
        <w:t xml:space="preserve"> (pp. 193-221). New York, NY: Cambridge University Press.</w:t>
      </w:r>
    </w:p>
    <w:p w:rsidR="00480DAD" w:rsidRPr="00AA4F75" w:rsidRDefault="00F65D15" w:rsidP="00F65D15">
      <w:pPr>
        <w:spacing w:line="240" w:lineRule="auto"/>
        <w:ind w:left="567" w:hanging="567"/>
      </w:pPr>
      <w:r w:rsidRPr="00AA4F75">
        <w:t xml:space="preserve">Jenkins, R. (2004). </w:t>
      </w:r>
      <w:r w:rsidRPr="00AA4F75">
        <w:rPr>
          <w:i/>
        </w:rPr>
        <w:t>Social identity</w:t>
      </w:r>
      <w:r w:rsidRPr="00AA4F75">
        <w:t xml:space="preserve"> (4 ed.). London: Routledge.</w:t>
      </w:r>
    </w:p>
    <w:p w:rsidR="00480DAD" w:rsidRPr="00AA4F75" w:rsidRDefault="00F65D15" w:rsidP="00F65D15">
      <w:pPr>
        <w:spacing w:line="240" w:lineRule="auto"/>
        <w:ind w:left="567" w:hanging="567"/>
      </w:pPr>
      <w:r w:rsidRPr="00AA4F75">
        <w:t xml:space="preserve">Knecht, M. (2012). Ethnographische praxis im feld der wissenschafts- medizin- und technikanthropologie. In S. Beck, J. Niewöhner, &amp; E. Sørensen (Eds.), </w:t>
      </w:r>
      <w:r w:rsidRPr="00AA4F75">
        <w:rPr>
          <w:i/>
        </w:rPr>
        <w:t>STS- Eine sozialanthropologische einführung</w:t>
      </w:r>
      <w:r w:rsidRPr="00AA4F75">
        <w:t xml:space="preserve"> (pp. 245-273). Bielefeld: Transcript.</w:t>
      </w:r>
    </w:p>
    <w:p w:rsidR="00480DAD" w:rsidRPr="00AA4F75" w:rsidRDefault="00F65D15" w:rsidP="00F65D15">
      <w:pPr>
        <w:spacing w:line="240" w:lineRule="auto"/>
        <w:ind w:left="567" w:hanging="567"/>
      </w:pPr>
      <w:r w:rsidRPr="00AA4F75">
        <w:t xml:space="preserve">Lingard, L., Schryer, C. F., Spafford, M. M., &amp; Campbell, S. L. (2007). Negotiating the politics of identity in an interdisciplinary research team. </w:t>
      </w:r>
      <w:r w:rsidRPr="00AA4F75">
        <w:rPr>
          <w:i/>
        </w:rPr>
        <w:t>Qualitative Research, 7</w:t>
      </w:r>
      <w:r w:rsidRPr="00AA4F75">
        <w:t>(4), 501-519.</w:t>
      </w:r>
    </w:p>
    <w:p w:rsidR="00480DAD" w:rsidRPr="00AA4F75" w:rsidRDefault="00F65D15" w:rsidP="00F65D15">
      <w:pPr>
        <w:spacing w:line="240" w:lineRule="auto"/>
        <w:ind w:left="567" w:hanging="567"/>
      </w:pPr>
      <w:r w:rsidRPr="00AA4F75">
        <w:t xml:space="preserve">Madsen, J., &amp; Josephsson, S. (2017). Engagement in occupation as an inquiring process: Exploring the situatedness of occupation. </w:t>
      </w:r>
      <w:r w:rsidRPr="00AA4F75">
        <w:rPr>
          <w:i/>
        </w:rPr>
        <w:t>Journal of Occupational Science</w:t>
      </w:r>
      <w:r w:rsidRPr="00AA4F75">
        <w:t xml:space="preserve">, </w:t>
      </w:r>
      <w:r w:rsidRPr="00AA4F75">
        <w:rPr>
          <w:i/>
        </w:rPr>
        <w:t xml:space="preserve">early online, </w:t>
      </w:r>
      <w:r w:rsidRPr="00AA4F75">
        <w:t>1-13.</w:t>
      </w:r>
    </w:p>
    <w:p w:rsidR="00480DAD" w:rsidRPr="00AA4F75" w:rsidRDefault="00F65D15" w:rsidP="00F65D15">
      <w:pPr>
        <w:spacing w:line="240" w:lineRule="auto"/>
        <w:ind w:left="567" w:hanging="567"/>
      </w:pPr>
      <w:r w:rsidRPr="00AA4F75">
        <w:t xml:space="preserve">Mattingly, C. (2010). </w:t>
      </w:r>
      <w:r w:rsidRPr="00AA4F75">
        <w:rPr>
          <w:i/>
        </w:rPr>
        <w:t>The paradox of hope: Journeys through a clinical borderland</w:t>
      </w:r>
      <w:r w:rsidRPr="00AA4F75">
        <w:t>: Univ of California Press.</w:t>
      </w:r>
    </w:p>
    <w:p w:rsidR="00480DAD" w:rsidRPr="00AA4F75" w:rsidRDefault="00F65D15" w:rsidP="00F65D15">
      <w:pPr>
        <w:tabs>
          <w:tab w:val="left" w:pos="708"/>
        </w:tabs>
        <w:spacing w:line="240" w:lineRule="auto"/>
        <w:ind w:left="567" w:hanging="567"/>
      </w:pPr>
      <w:r w:rsidRPr="00AA4F75">
        <w:t>Mattingly, C., Gron, L., &amp; Meinert, L. (2011). Chronic homework in emerging</w:t>
      </w:r>
    </w:p>
    <w:p w:rsidR="00480DAD" w:rsidRPr="00AA4F75" w:rsidRDefault="001019D4" w:rsidP="00F65D15">
      <w:pPr>
        <w:tabs>
          <w:tab w:val="left" w:pos="708"/>
        </w:tabs>
        <w:spacing w:line="240" w:lineRule="auto"/>
        <w:ind w:left="567" w:hanging="567"/>
      </w:pPr>
      <w:r w:rsidRPr="00AA4F75">
        <w:tab/>
      </w:r>
      <w:r w:rsidR="00F65D15" w:rsidRPr="00AA4F75">
        <w:t xml:space="preserve">borderlands of healthcare. </w:t>
      </w:r>
      <w:r w:rsidR="00F65D15" w:rsidRPr="00AA4F75">
        <w:rPr>
          <w:i/>
        </w:rPr>
        <w:t>Culture Medicine and Psychiatry, 35</w:t>
      </w:r>
      <w:r w:rsidR="00F65D15" w:rsidRPr="00AA4F75">
        <w:t>(3), 347-375.</w:t>
      </w:r>
    </w:p>
    <w:p w:rsidR="00480DAD" w:rsidRPr="00AA4F75" w:rsidRDefault="001019D4" w:rsidP="00F65D15">
      <w:pPr>
        <w:tabs>
          <w:tab w:val="left" w:pos="708"/>
        </w:tabs>
        <w:spacing w:line="240" w:lineRule="auto"/>
        <w:ind w:left="567" w:hanging="567"/>
      </w:pPr>
      <w:r w:rsidRPr="00AA4F75">
        <w:tab/>
      </w:r>
      <w:r w:rsidR="00F65D15" w:rsidRPr="00AA4F75">
        <w:t>doi:10.1007/s11013-011-9225-z</w:t>
      </w:r>
    </w:p>
    <w:p w:rsidR="00480DAD" w:rsidRPr="00AA4F75" w:rsidRDefault="00F65D15" w:rsidP="00F65D15">
      <w:pPr>
        <w:tabs>
          <w:tab w:val="left" w:pos="850"/>
        </w:tabs>
        <w:spacing w:line="240" w:lineRule="auto"/>
        <w:ind w:left="567" w:hanging="567"/>
      </w:pPr>
      <w:r w:rsidRPr="00AA4F75">
        <w:t xml:space="preserve">Mol, A. (2002). </w:t>
      </w:r>
      <w:r w:rsidRPr="00AA4F75">
        <w:rPr>
          <w:i/>
        </w:rPr>
        <w:t>The body multiple: Ontology in medical practice</w:t>
      </w:r>
      <w:r w:rsidRPr="00AA4F75">
        <w:t>. Durham: Duke</w:t>
      </w:r>
    </w:p>
    <w:p w:rsidR="00480DAD" w:rsidRPr="00AA4F75" w:rsidRDefault="001019D4" w:rsidP="00F65D15">
      <w:pPr>
        <w:tabs>
          <w:tab w:val="left" w:pos="850"/>
        </w:tabs>
        <w:spacing w:line="240" w:lineRule="auto"/>
        <w:ind w:left="567" w:hanging="567"/>
      </w:pPr>
      <w:r w:rsidRPr="00AA4F75">
        <w:tab/>
      </w:r>
      <w:r w:rsidR="00F65D15" w:rsidRPr="00AA4F75">
        <w:t>University Press.</w:t>
      </w:r>
    </w:p>
    <w:p w:rsidR="00480DAD" w:rsidRPr="00AA4F75" w:rsidRDefault="00F65D15" w:rsidP="00F65D15">
      <w:pPr>
        <w:spacing w:line="240" w:lineRule="auto"/>
        <w:ind w:left="567" w:hanging="567"/>
        <w:rPr>
          <w:i/>
        </w:rPr>
      </w:pPr>
      <w:r w:rsidRPr="00AA4F75">
        <w:t xml:space="preserve">Mol, A., Moser, I., &amp; Pols, J. (2010). </w:t>
      </w:r>
      <w:r w:rsidRPr="00AA4F75">
        <w:rPr>
          <w:i/>
        </w:rPr>
        <w:t>Care in practice: On tinkering in clinics, homes</w:t>
      </w:r>
    </w:p>
    <w:p w:rsidR="00480DAD" w:rsidRPr="00AA4F75" w:rsidRDefault="001019D4" w:rsidP="00F65D15">
      <w:pPr>
        <w:spacing w:line="240" w:lineRule="auto"/>
        <w:ind w:left="567" w:hanging="567"/>
      </w:pPr>
      <w:r w:rsidRPr="00AA4F75">
        <w:rPr>
          <w:i/>
        </w:rPr>
        <w:tab/>
      </w:r>
      <w:r w:rsidR="00F65D15" w:rsidRPr="00AA4F75">
        <w:rPr>
          <w:i/>
        </w:rPr>
        <w:t>and farms</w:t>
      </w:r>
      <w:r w:rsidR="00F65D15" w:rsidRPr="00AA4F75">
        <w:t xml:space="preserve"> (A. Mol, I. Moser, &amp; J. Pols Eds.). Bielefeld: Transcript.</w:t>
      </w:r>
    </w:p>
    <w:p w:rsidR="00480DAD" w:rsidRPr="00AA4F75" w:rsidRDefault="00F65D15" w:rsidP="00F65D15">
      <w:pPr>
        <w:spacing w:line="240" w:lineRule="auto"/>
        <w:ind w:left="567" w:hanging="567"/>
      </w:pPr>
      <w:r w:rsidRPr="00AA4F75">
        <w:t xml:space="preserve">Niewöhner, J. (2016). Co-laborative anthropology: Crafting reflexivities </w:t>
      </w:r>
    </w:p>
    <w:p w:rsidR="00480DAD" w:rsidRPr="00AA4F75" w:rsidRDefault="001019D4" w:rsidP="00F65D15">
      <w:pPr>
        <w:spacing w:line="240" w:lineRule="auto"/>
        <w:ind w:left="567" w:hanging="567"/>
      </w:pPr>
      <w:r w:rsidRPr="00AA4F75">
        <w:tab/>
      </w:r>
      <w:r w:rsidR="00F65D15" w:rsidRPr="00AA4F75">
        <w:t xml:space="preserve">experimentally [Finnish translation]. In J. Jouhki &amp; T. Steel (Eds.), </w:t>
      </w:r>
      <w:r w:rsidR="00F65D15" w:rsidRPr="00AA4F75">
        <w:rPr>
          <w:i/>
        </w:rPr>
        <w:t>Ethnologinen Tulkinta Ja Analyysi. Kohti Avoimempaa Tutkimusprosessia</w:t>
      </w:r>
      <w:r w:rsidR="00F65D15" w:rsidRPr="00AA4F75">
        <w:t xml:space="preserve"> (pp. 81-125). Helsinki: Ethnos.[english version available at:</w:t>
      </w:r>
      <w:hyperlink r:id="rId5">
        <w:r w:rsidR="00F65D15" w:rsidRPr="00AA4F75">
          <w:t xml:space="preserve"> </w:t>
        </w:r>
      </w:hyperlink>
      <w:hyperlink r:id="rId6">
        <w:r w:rsidR="00F65D15" w:rsidRPr="00AA4F75">
          <w:rPr>
            <w:color w:val="1155CC"/>
            <w:u w:val="single"/>
          </w:rPr>
          <w:t>https://www.researchgate.net/publication/30424843</w:t>
        </w:r>
      </w:hyperlink>
      <w:r w:rsidR="00F65D15" w:rsidRPr="00AA4F75">
        <w:t>].</w:t>
      </w:r>
    </w:p>
    <w:p w:rsidR="00480DAD" w:rsidRPr="00AA4F75" w:rsidRDefault="00F65D15" w:rsidP="00F65D15">
      <w:pPr>
        <w:spacing w:line="240" w:lineRule="auto"/>
        <w:ind w:left="567" w:hanging="567"/>
      </w:pPr>
      <w:r w:rsidRPr="00AA4F75">
        <w:t xml:space="preserve">Njelesani, J., Gibson, B. E., Nixon, S., Cameron, D., &amp; Polatajko, H. J. (2013). </w:t>
      </w:r>
    </w:p>
    <w:p w:rsidR="00480DAD" w:rsidRPr="00AA4F75" w:rsidRDefault="001019D4" w:rsidP="00F65D15">
      <w:pPr>
        <w:spacing w:line="240" w:lineRule="auto"/>
        <w:ind w:left="567" w:hanging="567"/>
      </w:pPr>
      <w:r w:rsidRPr="00AA4F75">
        <w:tab/>
      </w:r>
      <w:r w:rsidR="00F65D15" w:rsidRPr="00AA4F75">
        <w:t xml:space="preserve">Towards a critical occupational approach to research. </w:t>
      </w:r>
      <w:r w:rsidR="00F65D15" w:rsidRPr="00AA4F75">
        <w:rPr>
          <w:i/>
        </w:rPr>
        <w:t>International Journal of Qualitative Methods, 12</w:t>
      </w:r>
      <w:r w:rsidR="00F65D15" w:rsidRPr="00AA4F75">
        <w:t>(1), 207-220. doi:10.1177/160940691301200109</w:t>
      </w:r>
    </w:p>
    <w:p w:rsidR="00480DAD" w:rsidRPr="00AA4F75" w:rsidRDefault="00F65D15" w:rsidP="00F65D15">
      <w:pPr>
        <w:spacing w:line="240" w:lineRule="auto"/>
        <w:ind w:left="567" w:hanging="567"/>
      </w:pPr>
      <w:r w:rsidRPr="00AA4F75">
        <w:t xml:space="preserve">Prodinger, B., Shaw, L., Stamm, T., &amp; Rudman, D. L. (2014). Enacting occupation-based practice: Exploring the disjuncture between the daily lives of mothers with rheumatoid arthritis and institutional processes. </w:t>
      </w:r>
      <w:r w:rsidRPr="00AA4F75">
        <w:rPr>
          <w:i/>
        </w:rPr>
        <w:t>British Journal of Occupational Therapy, 77</w:t>
      </w:r>
      <w:r w:rsidRPr="00AA4F75">
        <w:t>(10), 491-498. doi:10.4276/030802214X14122630932359</w:t>
      </w:r>
    </w:p>
    <w:p w:rsidR="00480DAD" w:rsidRPr="00AA4F75" w:rsidRDefault="00F65D15" w:rsidP="00F65D15">
      <w:pPr>
        <w:spacing w:line="240" w:lineRule="auto"/>
        <w:ind w:left="567" w:hanging="567"/>
      </w:pPr>
      <w:r w:rsidRPr="00AA4F75">
        <w:t xml:space="preserve">Reckwitz, A. (2003). Grundelemente einer theorie sozialer praktiken: Eine sozialtheoretische perspektive [Basic elements of a theory of social practices: A perspective in social theory]. </w:t>
      </w:r>
      <w:r w:rsidRPr="00AA4F75">
        <w:rPr>
          <w:i/>
        </w:rPr>
        <w:t>Zeitschrift für Soziologie [Journal of Sociology], 32</w:t>
      </w:r>
      <w:r w:rsidRPr="00AA4F75">
        <w:t>(4), 282-301.Retrieved from</w:t>
      </w:r>
      <w:hyperlink r:id="rId7">
        <w:r w:rsidRPr="00AA4F75">
          <w:t xml:space="preserve"> </w:t>
        </w:r>
      </w:hyperlink>
      <w:hyperlink r:id="rId8">
        <w:r w:rsidRPr="00AA4F75">
          <w:rPr>
            <w:color w:val="1155CC"/>
            <w:u w:val="single"/>
          </w:rPr>
          <w:t>http://www.jstor.org/stable/23772286</w:t>
        </w:r>
      </w:hyperlink>
      <w:r w:rsidRPr="00AA4F75">
        <w:t>.</w:t>
      </w:r>
    </w:p>
    <w:p w:rsidR="00480DAD" w:rsidRPr="00AA4F75" w:rsidRDefault="00F65D15" w:rsidP="00F65D15">
      <w:pPr>
        <w:spacing w:line="240" w:lineRule="auto"/>
        <w:ind w:left="567" w:hanging="567"/>
      </w:pPr>
      <w:r w:rsidRPr="00AA4F75">
        <w:t xml:space="preserve">Schatzki, T. R. (2005). The sites of organizations. </w:t>
      </w:r>
      <w:r w:rsidRPr="00AA4F75">
        <w:rPr>
          <w:i/>
        </w:rPr>
        <w:t>Organization Studies, 26</w:t>
      </w:r>
      <w:r w:rsidRPr="00AA4F75">
        <w:t>(3), 465-484. doi:10.1177/0170840605050876</w:t>
      </w:r>
    </w:p>
    <w:p w:rsidR="00480DAD" w:rsidRPr="00AA4F75" w:rsidRDefault="00F65D15" w:rsidP="00F65D15">
      <w:pPr>
        <w:spacing w:line="240" w:lineRule="auto"/>
        <w:ind w:left="567" w:hanging="567"/>
      </w:pPr>
      <w:r w:rsidRPr="00AA4F75">
        <w:t xml:space="preserve">Schatzki, T. R. (2010). Materiality and social life. </w:t>
      </w:r>
      <w:r w:rsidRPr="00AA4F75">
        <w:rPr>
          <w:i/>
        </w:rPr>
        <w:t>Nature + Culture, 5</w:t>
      </w:r>
      <w:r w:rsidRPr="00AA4F75">
        <w:t>(2), 123-149. doi:10.3167/nc.2010.050202</w:t>
      </w:r>
    </w:p>
    <w:p w:rsidR="00480DAD" w:rsidRPr="00AA4F75" w:rsidRDefault="00F65D15" w:rsidP="00F65D15">
      <w:pPr>
        <w:spacing w:line="240" w:lineRule="auto"/>
        <w:ind w:left="567" w:hanging="567"/>
      </w:pPr>
      <w:r w:rsidRPr="00AA4F75">
        <w:t xml:space="preserve">Schatzki, T. R., Knorr-Cetina, K., &amp; von Savigny, E. (2001). </w:t>
      </w:r>
      <w:r w:rsidRPr="00AA4F75">
        <w:rPr>
          <w:i/>
        </w:rPr>
        <w:t>The practice turn in contemporary theory</w:t>
      </w:r>
      <w:r w:rsidRPr="00AA4F75">
        <w:t>. London: Routledge.</w:t>
      </w:r>
    </w:p>
    <w:p w:rsidR="00480DAD" w:rsidRPr="00AA4F75" w:rsidRDefault="00F65D15" w:rsidP="00F65D15">
      <w:pPr>
        <w:spacing w:line="240" w:lineRule="auto"/>
        <w:ind w:left="567" w:hanging="567"/>
      </w:pPr>
      <w:r w:rsidRPr="00AA4F75">
        <w:t xml:space="preserve">Spradley, J. P. (1980). </w:t>
      </w:r>
      <w:r w:rsidRPr="00AA4F75">
        <w:rPr>
          <w:i/>
        </w:rPr>
        <w:t>Participant observation</w:t>
      </w:r>
      <w:r w:rsidRPr="00AA4F75">
        <w:t>. New York: Holt, Rinehart &amp; Winston.</w:t>
      </w:r>
    </w:p>
    <w:p w:rsidR="00480DAD" w:rsidRPr="00AA4F75" w:rsidRDefault="00F65D15" w:rsidP="00F65D15">
      <w:pPr>
        <w:spacing w:line="240" w:lineRule="auto"/>
        <w:ind w:left="567" w:hanging="567"/>
      </w:pPr>
      <w:r w:rsidRPr="00AA4F75">
        <w:t xml:space="preserve">Star, S. L., &amp; Strauss, A. (1999). Layers of silence, arenas of voice: The ecology of visible and invisible work. </w:t>
      </w:r>
      <w:r w:rsidRPr="00AA4F75">
        <w:rPr>
          <w:i/>
        </w:rPr>
        <w:t>Comput. Supported Coop. Work, 8</w:t>
      </w:r>
      <w:r w:rsidRPr="00AA4F75">
        <w:t>(1-2), 9-30. doi:10.1023/a:1008651105359</w:t>
      </w:r>
    </w:p>
    <w:p w:rsidR="00480DAD" w:rsidRPr="00AA4F75" w:rsidRDefault="00F65D15" w:rsidP="00F65D15">
      <w:pPr>
        <w:spacing w:line="240" w:lineRule="auto"/>
        <w:ind w:left="567" w:hanging="567"/>
      </w:pPr>
      <w:r w:rsidRPr="00AA4F75">
        <w:t xml:space="preserve">Terkelsen, T. B. (2009). Transforming subjectivities in psychiatric care. </w:t>
      </w:r>
      <w:r w:rsidRPr="00AA4F75">
        <w:rPr>
          <w:i/>
        </w:rPr>
        <w:t>Subjectivity, 27</w:t>
      </w:r>
      <w:r w:rsidRPr="00AA4F75">
        <w:t>(1), 195-216. doi:10.1057/sub.2009.6</w:t>
      </w:r>
    </w:p>
    <w:p w:rsidR="00480DAD" w:rsidRPr="00AA4F75" w:rsidRDefault="00F65D15" w:rsidP="00F65D15">
      <w:pPr>
        <w:spacing w:line="240" w:lineRule="auto"/>
        <w:ind w:left="567" w:hanging="567"/>
      </w:pPr>
      <w:r w:rsidRPr="00AA4F75">
        <w:t xml:space="preserve">Townsend, E. (1998). </w:t>
      </w:r>
      <w:r w:rsidRPr="00AA4F75">
        <w:rPr>
          <w:i/>
        </w:rPr>
        <w:t>Good intentions overruled: A critique of empowerment in the routine organization of mental health services</w:t>
      </w:r>
      <w:r w:rsidRPr="00AA4F75">
        <w:t>. Toronto: University of Toronto Press.</w:t>
      </w:r>
    </w:p>
    <w:p w:rsidR="00480DAD" w:rsidRPr="00AA4F75" w:rsidRDefault="00F65D15" w:rsidP="00F65D15">
      <w:pPr>
        <w:spacing w:line="240" w:lineRule="auto"/>
        <w:ind w:left="567" w:hanging="567"/>
      </w:pPr>
      <w:r w:rsidRPr="00AA4F75">
        <w:t xml:space="preserve">Wind, G. (2008). Negotiated interactive observation: Doing fieldwork in hospital settings. </w:t>
      </w:r>
      <w:r w:rsidRPr="00AA4F75">
        <w:rPr>
          <w:i/>
        </w:rPr>
        <w:t>Anthropology &amp; Medicine, 15</w:t>
      </w:r>
      <w:r w:rsidRPr="00AA4F75">
        <w:t>(2), 79-89.</w:t>
      </w:r>
    </w:p>
    <w:p w:rsidR="00480DAD" w:rsidRPr="00AA4F75" w:rsidRDefault="00F65D15" w:rsidP="003B55D0">
      <w:pPr>
        <w:spacing w:line="480" w:lineRule="auto"/>
        <w:ind w:left="567" w:hanging="567"/>
      </w:pPr>
      <w:r w:rsidRPr="00AA4F75">
        <w:t xml:space="preserve"> </w:t>
      </w:r>
    </w:p>
    <w:p w:rsidR="00480DAD" w:rsidRPr="00AA4F75" w:rsidRDefault="00480DAD" w:rsidP="003B55D0">
      <w:pPr>
        <w:spacing w:line="480" w:lineRule="auto"/>
      </w:pPr>
    </w:p>
    <w:sectPr w:rsidR="00480DAD" w:rsidRPr="00AA4F75">
      <w:pgSz w:w="11909" w:h="16834"/>
      <w:pgMar w:top="1440" w:right="1440" w:bottom="1440" w:left="144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0DAD"/>
    <w:rsid w:val="00053004"/>
    <w:rsid w:val="001019D4"/>
    <w:rsid w:val="0010355D"/>
    <w:rsid w:val="00107196"/>
    <w:rsid w:val="001F08C3"/>
    <w:rsid w:val="00216724"/>
    <w:rsid w:val="003271A3"/>
    <w:rsid w:val="003B55D0"/>
    <w:rsid w:val="004522C8"/>
    <w:rsid w:val="00480DAD"/>
    <w:rsid w:val="005F4790"/>
    <w:rsid w:val="0067241C"/>
    <w:rsid w:val="006F65A8"/>
    <w:rsid w:val="00817064"/>
    <w:rsid w:val="00834310"/>
    <w:rsid w:val="009108C3"/>
    <w:rsid w:val="00A0583F"/>
    <w:rsid w:val="00AA4F75"/>
    <w:rsid w:val="00B46E68"/>
    <w:rsid w:val="00B77F75"/>
    <w:rsid w:val="00B83B7A"/>
    <w:rsid w:val="00CF539C"/>
    <w:rsid w:val="00D03975"/>
    <w:rsid w:val="00E541F4"/>
    <w:rsid w:val="00F62C26"/>
    <w:rsid w:val="00F65D15"/>
    <w:rsid w:val="00FD77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953176F-A9C5-4E81-BDB5-4E74196F24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color w:val="000000"/>
        <w:sz w:val="22"/>
        <w:szCs w:val="22"/>
        <w:lang w:val="de" w:eastAsia="en-GB" w:bidi="ar-SA"/>
      </w:rPr>
    </w:rPrDefault>
    <w:pPrDefault>
      <w:pPr>
        <w:pBdr>
          <w:top w:val="nil"/>
          <w:left w:val="nil"/>
          <w:bottom w:val="nil"/>
          <w:right w:val="nil"/>
          <w:between w:val="nil"/>
        </w:pBd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1019D4"/>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019D4"/>
    <w:rPr>
      <w:rFonts w:ascii="Segoe UI" w:hAnsi="Segoe UI" w:cs="Segoe UI"/>
      <w:sz w:val="18"/>
      <w:szCs w:val="18"/>
    </w:rPr>
  </w:style>
  <w:style w:type="paragraph" w:styleId="NormalWeb">
    <w:name w:val="Normal (Web)"/>
    <w:basedOn w:val="Normal"/>
    <w:uiPriority w:val="99"/>
    <w:semiHidden/>
    <w:unhideWhenUsed/>
    <w:rsid w:val="001019D4"/>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line="240" w:lineRule="auto"/>
    </w:pPr>
    <w:rPr>
      <w:rFonts w:ascii="Times New Roman" w:eastAsia="Times New Roman" w:hAnsi="Times New Roman" w:cs="Times New Roman"/>
      <w:color w:val="auto"/>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7755486">
      <w:bodyDiv w:val="1"/>
      <w:marLeft w:val="0"/>
      <w:marRight w:val="0"/>
      <w:marTop w:val="0"/>
      <w:marBottom w:val="0"/>
      <w:divBdr>
        <w:top w:val="none" w:sz="0" w:space="0" w:color="auto"/>
        <w:left w:val="none" w:sz="0" w:space="0" w:color="auto"/>
        <w:bottom w:val="none" w:sz="0" w:space="0" w:color="auto"/>
        <w:right w:val="none" w:sz="0" w:space="0" w:color="auto"/>
      </w:divBdr>
    </w:div>
    <w:div w:id="446660602">
      <w:bodyDiv w:val="1"/>
      <w:marLeft w:val="0"/>
      <w:marRight w:val="0"/>
      <w:marTop w:val="0"/>
      <w:marBottom w:val="0"/>
      <w:divBdr>
        <w:top w:val="none" w:sz="0" w:space="0" w:color="auto"/>
        <w:left w:val="none" w:sz="0" w:space="0" w:color="auto"/>
        <w:bottom w:val="none" w:sz="0" w:space="0" w:color="auto"/>
        <w:right w:val="none" w:sz="0" w:space="0" w:color="auto"/>
      </w:divBdr>
    </w:div>
    <w:div w:id="978875560">
      <w:bodyDiv w:val="1"/>
      <w:marLeft w:val="0"/>
      <w:marRight w:val="0"/>
      <w:marTop w:val="0"/>
      <w:marBottom w:val="0"/>
      <w:divBdr>
        <w:top w:val="none" w:sz="0" w:space="0" w:color="auto"/>
        <w:left w:val="none" w:sz="0" w:space="0" w:color="auto"/>
        <w:bottom w:val="none" w:sz="0" w:space="0" w:color="auto"/>
        <w:right w:val="none" w:sz="0" w:space="0" w:color="auto"/>
      </w:divBdr>
    </w:div>
    <w:div w:id="122067589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jstor.org/stable/23772286" TargetMode="External"/><Relationship Id="rId3" Type="http://schemas.openxmlformats.org/officeDocument/2006/relationships/webSettings" Target="webSettings.xml"/><Relationship Id="rId7" Type="http://schemas.openxmlformats.org/officeDocument/2006/relationships/hyperlink" Target="http://www.jstor.org/stable/23772286"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researchgate.net/publication/30424843" TargetMode="External"/><Relationship Id="rId5" Type="http://schemas.openxmlformats.org/officeDocument/2006/relationships/hyperlink" Target="https://www.researchgate.net/publication/30424843" TargetMode="External"/><Relationship Id="rId10" Type="http://schemas.openxmlformats.org/officeDocument/2006/relationships/theme" Target="theme/theme1.xml"/><Relationship Id="rId4" Type="http://schemas.openxmlformats.org/officeDocument/2006/relationships/hyperlink" Target="http://www.aaanet.org/stmts/ethstmnt.htm"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68B7FAFB</Template>
  <TotalTime>0</TotalTime>
  <Pages>37</Pages>
  <Words>7468</Words>
  <Characters>42570</Characters>
  <Application>Microsoft Office Word</Application>
  <DocSecurity>4</DocSecurity>
  <Lines>354</Lines>
  <Paragraphs>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Michelle Elliot</dc:creator>
  <cp:lastModifiedBy>hmuir</cp:lastModifiedBy>
  <cp:revision>2</cp:revision>
  <dcterms:created xsi:type="dcterms:W3CDTF">2017-10-09T08:32:00Z</dcterms:created>
  <dcterms:modified xsi:type="dcterms:W3CDTF">2017-10-09T08:32:00Z</dcterms:modified>
</cp:coreProperties>
</file>