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FE98D7" w14:textId="77777777" w:rsidR="006C08A2" w:rsidRDefault="006C08A2" w:rsidP="00841A7D">
      <w:pPr>
        <w:spacing w:line="360" w:lineRule="auto"/>
        <w:jc w:val="left"/>
        <w:rPr>
          <w:rFonts w:ascii="Arial" w:hAnsi="Arial"/>
          <w:b/>
          <w:bCs/>
          <w:sz w:val="36"/>
          <w:szCs w:val="36"/>
        </w:rPr>
      </w:pPr>
    </w:p>
    <w:p w14:paraId="44D179F8" w14:textId="7723138B" w:rsidR="006C08A2" w:rsidRPr="00B759D0" w:rsidRDefault="006C08A2" w:rsidP="00841A7D">
      <w:pPr>
        <w:spacing w:line="360" w:lineRule="auto"/>
        <w:jc w:val="left"/>
        <w:rPr>
          <w:rFonts w:ascii="Arial" w:hAnsi="Arial"/>
          <w:b/>
          <w:bCs/>
          <w:sz w:val="36"/>
          <w:szCs w:val="36"/>
        </w:rPr>
      </w:pPr>
      <w:r w:rsidRPr="00B759D0">
        <w:rPr>
          <w:rFonts w:ascii="Arial" w:hAnsi="Arial"/>
          <w:b/>
          <w:bCs/>
          <w:sz w:val="36"/>
          <w:szCs w:val="36"/>
        </w:rPr>
        <w:t xml:space="preserve">Embedding students’ academic writing development in early-career </w:t>
      </w:r>
      <w:r w:rsidR="00526183" w:rsidRPr="00B759D0">
        <w:rPr>
          <w:rFonts w:ascii="Arial" w:hAnsi="Arial"/>
          <w:b/>
          <w:bCs/>
          <w:sz w:val="36"/>
          <w:szCs w:val="36"/>
        </w:rPr>
        <w:t xml:space="preserve">disciplinary </w:t>
      </w:r>
      <w:r w:rsidRPr="00B759D0">
        <w:rPr>
          <w:rFonts w:ascii="Arial" w:hAnsi="Arial"/>
          <w:b/>
          <w:bCs/>
          <w:sz w:val="36"/>
          <w:szCs w:val="36"/>
        </w:rPr>
        <w:t>lecturers’ practice</w:t>
      </w:r>
    </w:p>
    <w:p w14:paraId="1D8A04FA" w14:textId="6E0DE3E5" w:rsidR="00346D45" w:rsidRPr="00B759D0" w:rsidRDefault="00526183" w:rsidP="00841A7D">
      <w:pPr>
        <w:pStyle w:val="authorname"/>
        <w:jc w:val="left"/>
      </w:pPr>
      <w:r w:rsidRPr="00B759D0">
        <w:t>Lisa McGrath</w:t>
      </w:r>
    </w:p>
    <w:p w14:paraId="52EDBCF1" w14:textId="5B443502" w:rsidR="00346D45" w:rsidRPr="00B759D0" w:rsidRDefault="00526183" w:rsidP="00841A7D">
      <w:pPr>
        <w:pStyle w:val="authoraddress"/>
        <w:jc w:val="left"/>
      </w:pPr>
      <w:r w:rsidRPr="00B759D0">
        <w:t>Sheffield Institute of Education, Sheffield Hallam University, Sheffield, UK</w:t>
      </w:r>
    </w:p>
    <w:p w14:paraId="05764664" w14:textId="55BEC7CD" w:rsidR="00346D45" w:rsidRPr="00B759D0" w:rsidRDefault="00346D45" w:rsidP="00841A7D">
      <w:pPr>
        <w:pStyle w:val="authoremail"/>
        <w:jc w:val="left"/>
      </w:pPr>
      <w:r w:rsidRPr="00B759D0">
        <w:t>Email</w:t>
      </w:r>
      <w:r w:rsidR="00526183" w:rsidRPr="00B759D0">
        <w:t xml:space="preserve">: </w:t>
      </w:r>
      <w:hyperlink r:id="rId7" w:history="1">
        <w:r w:rsidR="007A085F" w:rsidRPr="00B759D0">
          <w:rPr>
            <w:rStyle w:val="Hyperlink"/>
          </w:rPr>
          <w:t>l.mcgrath@shu.ac.uk</w:t>
        </w:r>
      </w:hyperlink>
    </w:p>
    <w:p w14:paraId="25771FD4" w14:textId="7387831E" w:rsidR="002340B9" w:rsidRPr="00B759D0" w:rsidRDefault="00526183" w:rsidP="00841A7D">
      <w:pPr>
        <w:pStyle w:val="authornameotherinstitution"/>
        <w:jc w:val="left"/>
      </w:pPr>
      <w:r w:rsidRPr="00B759D0">
        <w:t>Helen Donaghue</w:t>
      </w:r>
    </w:p>
    <w:p w14:paraId="660CD604" w14:textId="1F817A5C" w:rsidR="00346D45" w:rsidRPr="00B759D0" w:rsidRDefault="00526183" w:rsidP="00841A7D">
      <w:pPr>
        <w:pStyle w:val="authoraddress"/>
        <w:jc w:val="left"/>
      </w:pPr>
      <w:r w:rsidRPr="00B759D0">
        <w:t>LEAD Centre, Queen Margaret University, Edinburgh, UK</w:t>
      </w:r>
    </w:p>
    <w:p w14:paraId="157B34AB" w14:textId="3C88E6F8" w:rsidR="00346D45" w:rsidRPr="00B759D0" w:rsidRDefault="00346D45" w:rsidP="00841A7D">
      <w:pPr>
        <w:pStyle w:val="authoremail"/>
        <w:jc w:val="left"/>
      </w:pPr>
      <w:r w:rsidRPr="00B759D0">
        <w:t xml:space="preserve">Email: </w:t>
      </w:r>
      <w:hyperlink r:id="rId8" w:history="1">
        <w:r w:rsidR="007A085F" w:rsidRPr="00B759D0">
          <w:rPr>
            <w:rStyle w:val="Hyperlink"/>
          </w:rPr>
          <w:t>hdonaghue@qmu.ac.uk</w:t>
        </w:r>
      </w:hyperlink>
    </w:p>
    <w:p w14:paraId="50B13336" w14:textId="779818B2" w:rsidR="00526183" w:rsidRPr="00B759D0" w:rsidRDefault="00526183" w:rsidP="00841A7D">
      <w:pPr>
        <w:pStyle w:val="authornameotherinstitution"/>
        <w:jc w:val="left"/>
      </w:pPr>
      <w:r w:rsidRPr="00B759D0">
        <w:t>Raffaella Negretti</w:t>
      </w:r>
    </w:p>
    <w:p w14:paraId="39068844" w14:textId="3D31DB84" w:rsidR="00526183" w:rsidRPr="00B759D0" w:rsidRDefault="00526183" w:rsidP="00841A7D">
      <w:pPr>
        <w:pStyle w:val="authoraddress"/>
        <w:jc w:val="left"/>
      </w:pPr>
      <w:r w:rsidRPr="00B759D0">
        <w:t>Department of Communication and Learning in Science, Chalmers University of Technology, Gothenburg, Sweden</w:t>
      </w:r>
    </w:p>
    <w:p w14:paraId="4AA676E3" w14:textId="4A0EF1A4" w:rsidR="00526183" w:rsidRPr="00B759D0" w:rsidRDefault="00526183" w:rsidP="00841A7D">
      <w:pPr>
        <w:pStyle w:val="authoremail"/>
        <w:jc w:val="left"/>
      </w:pPr>
      <w:r w:rsidRPr="00B759D0">
        <w:t xml:space="preserve">Email: </w:t>
      </w:r>
      <w:hyperlink r:id="rId9" w:history="1">
        <w:r w:rsidR="007A085F" w:rsidRPr="00B759D0">
          <w:rPr>
            <w:rStyle w:val="Hyperlink"/>
          </w:rPr>
          <w:t>negretti@chalmers.se</w:t>
        </w:r>
      </w:hyperlink>
    </w:p>
    <w:p w14:paraId="32A03619" w14:textId="5E970176" w:rsidR="00346D45" w:rsidRPr="00B759D0" w:rsidRDefault="00BF7B8A" w:rsidP="00841A7D">
      <w:pPr>
        <w:pStyle w:val="publicationdate"/>
        <w:jc w:val="left"/>
      </w:pPr>
      <w:r w:rsidRPr="00B759D0">
        <w:t>(</w:t>
      </w:r>
      <w:r w:rsidR="009B0E3C" w:rsidRPr="00B759D0">
        <w:t xml:space="preserve">Received </w:t>
      </w:r>
      <w:r w:rsidR="002F7148" w:rsidRPr="00B759D0">
        <w:t>20 October 2023</w:t>
      </w:r>
      <w:r w:rsidR="009B0E3C" w:rsidRPr="00B759D0">
        <w:t xml:space="preserve">; </w:t>
      </w:r>
      <w:r w:rsidRPr="00B759D0">
        <w:t>P</w:t>
      </w:r>
      <w:r w:rsidR="00346D45" w:rsidRPr="00B759D0">
        <w:t xml:space="preserve">ublished online </w:t>
      </w:r>
      <w:r w:rsidRPr="00B759D0">
        <w:t>Date</w:t>
      </w:r>
      <w:r w:rsidR="00346D45" w:rsidRPr="00B759D0">
        <w:t xml:space="preserve"> Month </w:t>
      </w:r>
      <w:r w:rsidR="009B0E3C" w:rsidRPr="00B759D0">
        <w:t>Year</w:t>
      </w:r>
      <w:r w:rsidR="00346D45" w:rsidRPr="00B759D0">
        <w:t>)</w:t>
      </w:r>
      <w:r w:rsidRPr="00B759D0">
        <w:t xml:space="preserve"> [JALL Editor to complete.]</w:t>
      </w:r>
    </w:p>
    <w:p w14:paraId="5BB370FA" w14:textId="77777777" w:rsidR="006C08A2" w:rsidRPr="00B759D0" w:rsidRDefault="006C08A2" w:rsidP="00841A7D">
      <w:pPr>
        <w:pStyle w:val="keywords"/>
        <w:jc w:val="left"/>
      </w:pPr>
    </w:p>
    <w:p w14:paraId="2A20F6E0" w14:textId="3BEEC391" w:rsidR="006D3B6C" w:rsidRPr="00B759D0" w:rsidRDefault="006D3B6C" w:rsidP="00841A7D">
      <w:pPr>
        <w:spacing w:line="360" w:lineRule="auto"/>
        <w:jc w:val="left"/>
        <w:rPr>
          <w:rFonts w:cs="Times New Roman"/>
          <w:sz w:val="24"/>
        </w:rPr>
      </w:pPr>
      <w:r w:rsidRPr="00B759D0">
        <w:rPr>
          <w:rFonts w:cs="Times New Roman"/>
          <w:sz w:val="24"/>
        </w:rPr>
        <w:t xml:space="preserve">This study proposes a theoretically grounded and resource-efficient triadic model with the aim of supporting early-career subject lecturers in learning how to understand discipline-specific academic writing </w:t>
      </w:r>
      <w:r w:rsidR="005F0CDC" w:rsidRPr="00B759D0">
        <w:rPr>
          <w:rFonts w:cs="Times New Roman"/>
          <w:sz w:val="24"/>
        </w:rPr>
        <w:t xml:space="preserve">and teach it </w:t>
      </w:r>
      <w:r w:rsidRPr="00B759D0">
        <w:rPr>
          <w:rFonts w:cs="Times New Roman"/>
          <w:sz w:val="24"/>
        </w:rPr>
        <w:t>to their students. The model constitutes a ‘bottom-up’ collaboration process among a subject lecturer, an English for Academic Purposes (EAP) lecturer, and an academic developer. Adopting a case study approach, qualitative data were collected at multiple points</w:t>
      </w:r>
      <w:r w:rsidR="00526183" w:rsidRPr="00B759D0">
        <w:rPr>
          <w:rFonts w:cs="Times New Roman"/>
          <w:sz w:val="24"/>
        </w:rPr>
        <w:t xml:space="preserve"> in the process</w:t>
      </w:r>
      <w:r w:rsidRPr="00B759D0">
        <w:rPr>
          <w:rFonts w:cs="Times New Roman"/>
          <w:sz w:val="24"/>
        </w:rPr>
        <w:t xml:space="preserve"> and were analysed using both thematic and linguistic analysis. Results indicate that the collaboration's genre-based, dialogic and egalitarian nature enabled the subject lecturer to grow her understanding of students’ writing development. She acquired some metalanguage to conceptualise and articulate her expectations in terms of her students’ assignments and was able to co-create learning tasks. Our study contributes novel insights into debates around where and how students’ academic writing development should be delivered, and, importantly, early-career lecturers’ role in that delivery. Finally, we propose an extension of the EAP lecturers’ remit to encompass working with early-career subject lecturers in a developmental role.</w:t>
      </w:r>
    </w:p>
    <w:p w14:paraId="798D9246" w14:textId="77777777" w:rsidR="00FA43C8" w:rsidRPr="00B759D0" w:rsidRDefault="00FA43C8" w:rsidP="00841A7D">
      <w:pPr>
        <w:pStyle w:val="keywords"/>
        <w:jc w:val="left"/>
      </w:pPr>
      <w:r w:rsidRPr="00B759D0">
        <w:rPr>
          <w:b/>
        </w:rPr>
        <w:lastRenderedPageBreak/>
        <w:t>Key Words:</w:t>
      </w:r>
      <w:r w:rsidRPr="00B759D0">
        <w:t xml:space="preserve"> </w:t>
      </w:r>
      <w:r w:rsidRPr="00B759D0">
        <w:rPr>
          <w:rFonts w:cs="Times New Roman"/>
          <w:sz w:val="24"/>
        </w:rPr>
        <w:t>academic writing; dialogism; early-career lecturer; EAP; professional development; task</w:t>
      </w:r>
    </w:p>
    <w:p w14:paraId="55B7FDDB" w14:textId="77777777" w:rsidR="006C08A2" w:rsidRPr="00B759D0" w:rsidRDefault="006C08A2" w:rsidP="00841A7D">
      <w:pPr>
        <w:spacing w:line="360" w:lineRule="auto"/>
        <w:jc w:val="left"/>
        <w:rPr>
          <w:rFonts w:cs="Times New Roman"/>
          <w:b/>
          <w:bCs/>
          <w:sz w:val="24"/>
        </w:rPr>
      </w:pPr>
    </w:p>
    <w:p w14:paraId="3BE29589" w14:textId="09C7C3B7" w:rsidR="00346D45" w:rsidRPr="00B759D0" w:rsidRDefault="006C08A2" w:rsidP="00841A7D">
      <w:pPr>
        <w:pStyle w:val="Heading1"/>
        <w:jc w:val="left"/>
      </w:pPr>
      <w:r w:rsidRPr="00B759D0">
        <w:t>Introduction and literature review</w:t>
      </w:r>
    </w:p>
    <w:p w14:paraId="4BED4C52" w14:textId="4FB3E3EB" w:rsidR="006C08A2" w:rsidRPr="00B759D0" w:rsidRDefault="00A419AA" w:rsidP="00841A7D">
      <w:pPr>
        <w:spacing w:line="360" w:lineRule="auto"/>
        <w:jc w:val="left"/>
        <w:rPr>
          <w:rFonts w:cs="Times New Roman"/>
          <w:sz w:val="24"/>
        </w:rPr>
      </w:pPr>
      <w:r w:rsidRPr="00B759D0">
        <w:rPr>
          <w:rFonts w:cs="Times New Roman"/>
          <w:sz w:val="24"/>
        </w:rPr>
        <w:t>T</w:t>
      </w:r>
      <w:r w:rsidR="006C08A2" w:rsidRPr="00B759D0">
        <w:rPr>
          <w:rFonts w:cs="Times New Roman"/>
          <w:sz w:val="24"/>
        </w:rPr>
        <w:t xml:space="preserve">he problem of who should deliver </w:t>
      </w:r>
      <w:r w:rsidR="00CB1AF8" w:rsidRPr="00B759D0">
        <w:rPr>
          <w:rFonts w:cs="Times New Roman"/>
          <w:sz w:val="24"/>
        </w:rPr>
        <w:t>post-entry</w:t>
      </w:r>
      <w:r w:rsidR="006D78EF" w:rsidRPr="00B759D0">
        <w:rPr>
          <w:rFonts w:cs="Times New Roman"/>
          <w:sz w:val="24"/>
        </w:rPr>
        <w:t>/in-sessional</w:t>
      </w:r>
      <w:r w:rsidR="00CB1AF8" w:rsidRPr="00B759D0">
        <w:rPr>
          <w:rFonts w:cs="Times New Roman"/>
          <w:sz w:val="24"/>
        </w:rPr>
        <w:t xml:space="preserve"> </w:t>
      </w:r>
      <w:r w:rsidR="006C08A2" w:rsidRPr="00B759D0">
        <w:rPr>
          <w:rFonts w:cs="Times New Roman"/>
          <w:sz w:val="24"/>
        </w:rPr>
        <w:t>students’ disciplinary (and in some cases, professional) writing development, and how, remains a longstanding challenge for universities globally. Academic writing specialists have long maintained that responsibility for disciplinary writing development should be at a minimum shared with subject lecturers (e.g., Johns, 1997; Murray, 2010; Wingate, 2006</w:t>
      </w:r>
      <w:r w:rsidR="00404571" w:rsidRPr="00B759D0">
        <w:rPr>
          <w:rFonts w:cs="Times New Roman"/>
          <w:sz w:val="24"/>
        </w:rPr>
        <w:t>)</w:t>
      </w:r>
      <w:r w:rsidR="006C08A2" w:rsidRPr="00B759D0">
        <w:rPr>
          <w:rFonts w:cs="Times New Roman"/>
          <w:sz w:val="24"/>
        </w:rPr>
        <w:t xml:space="preserve"> as they are best placed to induct students into the specific discourse of their disciplinary/professional communities (Johns, 1997; Benzie et al., 2017). </w:t>
      </w:r>
      <w:r w:rsidR="00CB1AF8" w:rsidRPr="00B759D0">
        <w:rPr>
          <w:rFonts w:cs="Times New Roman"/>
          <w:sz w:val="24"/>
        </w:rPr>
        <w:t>This is in part because assignment expectations and language use are genre</w:t>
      </w:r>
      <w:r w:rsidR="002F7148" w:rsidRPr="00B759D0">
        <w:rPr>
          <w:rFonts w:cs="Times New Roman"/>
          <w:sz w:val="24"/>
        </w:rPr>
        <w:t>-</w:t>
      </w:r>
      <w:r w:rsidR="00CB1AF8" w:rsidRPr="00B759D0">
        <w:rPr>
          <w:rFonts w:cs="Times New Roman"/>
          <w:sz w:val="24"/>
        </w:rPr>
        <w:t xml:space="preserve">specific, based upon disciplinary and professional contexts (Hyland, 2004; Kuteeva &amp; Airey, 2014). </w:t>
      </w:r>
      <w:r w:rsidR="006C08A2" w:rsidRPr="00B759D0">
        <w:rPr>
          <w:rFonts w:cs="Times New Roman"/>
          <w:sz w:val="24"/>
        </w:rPr>
        <w:t>Increasing recognition of this specificity has gone hand in hand with the acknowledgment that in-sessional disciplinary writing development stands to benefit all</w:t>
      </w:r>
      <w:r w:rsidR="006C08A2" w:rsidRPr="00B759D0">
        <w:rPr>
          <w:rFonts w:cs="Times New Roman"/>
          <w:i/>
          <w:iCs/>
          <w:sz w:val="24"/>
        </w:rPr>
        <w:t xml:space="preserve"> </w:t>
      </w:r>
      <w:r w:rsidR="006C08A2" w:rsidRPr="00B759D0">
        <w:rPr>
          <w:rFonts w:cs="Times New Roman"/>
          <w:sz w:val="24"/>
        </w:rPr>
        <w:t xml:space="preserve">students in higher education (HE) (Hathaway, 2015; Murray, 2022; Wingate, 2012) and should not be confined to the deficit models that have predominated in the </w:t>
      </w:r>
      <w:r w:rsidR="00D11D37" w:rsidRPr="00B759D0">
        <w:rPr>
          <w:rFonts w:cs="Times New Roman"/>
          <w:sz w:val="24"/>
        </w:rPr>
        <w:t>p</w:t>
      </w:r>
      <w:r w:rsidR="006C08A2" w:rsidRPr="00B759D0">
        <w:rPr>
          <w:rFonts w:cs="Times New Roman"/>
          <w:sz w:val="24"/>
        </w:rPr>
        <w:t>ast (Lillis</w:t>
      </w:r>
      <w:r w:rsidR="002F55AD" w:rsidRPr="00B759D0">
        <w:rPr>
          <w:rFonts w:cs="Times New Roman"/>
          <w:sz w:val="24"/>
        </w:rPr>
        <w:t>, 2001)</w:t>
      </w:r>
      <w:r w:rsidR="006C08A2" w:rsidRPr="00B759D0">
        <w:rPr>
          <w:rFonts w:cs="Times New Roman"/>
          <w:sz w:val="24"/>
        </w:rPr>
        <w:t xml:space="preserve">. Nonetheless, in many universities in the UK, developing students' writing remains </w:t>
      </w:r>
      <w:r w:rsidR="006D0179" w:rsidRPr="00B759D0">
        <w:rPr>
          <w:rFonts w:cs="Times New Roman"/>
          <w:sz w:val="24"/>
        </w:rPr>
        <w:t>segregated,</w:t>
      </w:r>
      <w:r w:rsidR="006C08A2" w:rsidRPr="00B759D0">
        <w:rPr>
          <w:rFonts w:cs="Times New Roman"/>
          <w:sz w:val="24"/>
        </w:rPr>
        <w:t xml:space="preserve"> outsourced to study skills or English for Academic Purposes (EAP) provision, delivered outside of the disciplinary context (i.e., in study skills or EAP classes rather than embedded in the disciplinary curriculum). This model is problematic on three fronts: first, it assumes that literacy can be “acquired, possessed, and transferred unproblematically from one context to another” (Tuck, 2018, p. 8); second, </w:t>
      </w:r>
      <w:r w:rsidR="00803C48" w:rsidRPr="00B759D0">
        <w:rPr>
          <w:rFonts w:cs="Times New Roman"/>
          <w:sz w:val="24"/>
        </w:rPr>
        <w:t>the study skills model</w:t>
      </w:r>
      <w:r w:rsidR="006C08A2" w:rsidRPr="00B759D0">
        <w:rPr>
          <w:rFonts w:cs="Times New Roman"/>
          <w:sz w:val="24"/>
        </w:rPr>
        <w:t xml:space="preserve"> assumes that writing conventions are universal rather than disciplinary-situated (e.g., Gimenez, 2012); and third, it is unlikely that EAP or study skills provision would be sufficiently resourced to reach all students across the university (see Murray, 2022)</w:t>
      </w:r>
      <w:r w:rsidR="003E5204" w:rsidRPr="00B759D0">
        <w:rPr>
          <w:rFonts w:cs="Times New Roman"/>
          <w:sz w:val="24"/>
        </w:rPr>
        <w:t xml:space="preserve"> given its extra-curricular delivery model.</w:t>
      </w:r>
    </w:p>
    <w:p w14:paraId="5A4DB9C9" w14:textId="77777777" w:rsidR="00167C7A" w:rsidRPr="00B759D0" w:rsidRDefault="006C08A2" w:rsidP="00841A7D">
      <w:pPr>
        <w:spacing w:line="360" w:lineRule="auto"/>
        <w:jc w:val="left"/>
        <w:rPr>
          <w:rFonts w:cs="Times New Roman"/>
          <w:sz w:val="24"/>
        </w:rPr>
      </w:pPr>
      <w:r w:rsidRPr="00B759D0">
        <w:rPr>
          <w:rFonts w:cs="Times New Roman"/>
          <w:sz w:val="24"/>
        </w:rPr>
        <w:t xml:space="preserve">In the US, writing across the curriculum (WAC) and writing in the disciplines (WiD) have a long tradition (Li, 2020). Yet it is only in the last decade or so that accounts of embedded models that situate writing development within the disciplinary classroom in other geographical contexts have begun to emerge in the literature, with Australia in the vanguard (see e.g., Benzie et al., 2017; Chanock et al., 2012; Devereux et al., 2018; Maldoni, 2017; 2018; and Li, 2020 for an overview). There are also examples from other sociolinguistic contexts, such </w:t>
      </w:r>
      <w:r w:rsidR="006D78EF" w:rsidRPr="00B759D0">
        <w:rPr>
          <w:rFonts w:cs="Times New Roman"/>
          <w:sz w:val="24"/>
        </w:rPr>
        <w:t xml:space="preserve">as </w:t>
      </w:r>
      <w:r w:rsidRPr="00B759D0">
        <w:rPr>
          <w:rFonts w:cs="Times New Roman"/>
          <w:sz w:val="24"/>
        </w:rPr>
        <w:t>Hakim (2023) in an EMI university in Lebanon</w:t>
      </w:r>
      <w:r w:rsidR="00211222" w:rsidRPr="00B759D0">
        <w:rPr>
          <w:rFonts w:cs="Times New Roman"/>
          <w:sz w:val="24"/>
        </w:rPr>
        <w:t xml:space="preserve"> </w:t>
      </w:r>
      <w:r w:rsidR="00211222" w:rsidRPr="00B759D0">
        <w:rPr>
          <w:rFonts w:cs="Times New Roman"/>
          <w:sz w:val="24"/>
        </w:rPr>
        <w:lastRenderedPageBreak/>
        <w:t>and</w:t>
      </w:r>
      <w:r w:rsidR="00B27E06" w:rsidRPr="00B759D0">
        <w:rPr>
          <w:rFonts w:cs="Times New Roman"/>
          <w:sz w:val="24"/>
        </w:rPr>
        <w:t xml:space="preserve"> Macnaught et al. (2022) in New Zealand. </w:t>
      </w:r>
      <w:r w:rsidR="00211222" w:rsidRPr="00B759D0">
        <w:rPr>
          <w:rFonts w:cs="Times New Roman"/>
          <w:sz w:val="24"/>
        </w:rPr>
        <w:t xml:space="preserve">Both </w:t>
      </w:r>
      <w:r w:rsidR="00462D35" w:rsidRPr="00B759D0">
        <w:rPr>
          <w:rFonts w:cs="Times New Roman"/>
          <w:sz w:val="24"/>
        </w:rPr>
        <w:t xml:space="preserve">studies reported positive outcomes with some caveats. </w:t>
      </w:r>
    </w:p>
    <w:p w14:paraId="6995B06A" w14:textId="70CC6A4B" w:rsidR="006C08A2" w:rsidRPr="00B759D0" w:rsidRDefault="0064139B" w:rsidP="00841A7D">
      <w:pPr>
        <w:spacing w:line="360" w:lineRule="auto"/>
        <w:jc w:val="left"/>
        <w:rPr>
          <w:rFonts w:cs="Times New Roman"/>
          <w:sz w:val="24"/>
        </w:rPr>
      </w:pPr>
      <w:r w:rsidRPr="00B759D0">
        <w:rPr>
          <w:rFonts w:cs="Times New Roman"/>
          <w:sz w:val="24"/>
        </w:rPr>
        <w:t>A common model is</w:t>
      </w:r>
      <w:r w:rsidR="006C08A2" w:rsidRPr="00B759D0">
        <w:rPr>
          <w:rFonts w:cs="Times New Roman"/>
          <w:sz w:val="24"/>
        </w:rPr>
        <w:t xml:space="preserve"> as follows: EAP specialists design materials and team teach with the subject specialist, and then responsibility (materials and teaching) is handed over to the disciplinary team (e.g., M</w:t>
      </w:r>
      <w:r w:rsidR="00E427C2" w:rsidRPr="00B759D0">
        <w:rPr>
          <w:rFonts w:cs="Times New Roman"/>
          <w:sz w:val="24"/>
        </w:rPr>
        <w:t>a</w:t>
      </w:r>
      <w:r w:rsidR="006C08A2" w:rsidRPr="00B759D0">
        <w:rPr>
          <w:rFonts w:cs="Times New Roman"/>
          <w:sz w:val="24"/>
        </w:rPr>
        <w:t>cNaught et al., 2022). The model has much to offer (see Maldoni &amp; Lear, 2016; Maldoni, 2018), but success is difficult to evaluate empirically (Fenton-Smith et al., 2017).</w:t>
      </w:r>
      <w:r w:rsidR="006B7ABC" w:rsidRPr="00B759D0">
        <w:rPr>
          <w:rFonts w:cs="Times New Roman"/>
          <w:sz w:val="24"/>
        </w:rPr>
        <w:t xml:space="preserve"> For instance, academic language development is a lengthy process and can occur outside of the classroom through socialisation processes (Duff, 2010)</w:t>
      </w:r>
      <w:r w:rsidR="00CF2253" w:rsidRPr="00B759D0">
        <w:rPr>
          <w:rFonts w:cs="Times New Roman"/>
          <w:sz w:val="24"/>
        </w:rPr>
        <w:t>,</w:t>
      </w:r>
      <w:r w:rsidR="006B7ABC" w:rsidRPr="00B759D0">
        <w:rPr>
          <w:rFonts w:cs="Times New Roman"/>
          <w:sz w:val="24"/>
        </w:rPr>
        <w:t xml:space="preserve"> and the use of student surveys to evaluate courses is problematic as th</w:t>
      </w:r>
      <w:r w:rsidR="00CF2253" w:rsidRPr="00B759D0">
        <w:rPr>
          <w:rFonts w:cs="Times New Roman"/>
          <w:sz w:val="24"/>
        </w:rPr>
        <w:t>e</w:t>
      </w:r>
      <w:r w:rsidR="006B7ABC" w:rsidRPr="00B759D0">
        <w:rPr>
          <w:rFonts w:cs="Times New Roman"/>
          <w:sz w:val="24"/>
        </w:rPr>
        <w:t xml:space="preserve">y </w:t>
      </w:r>
      <w:r w:rsidR="00CF2253" w:rsidRPr="00B759D0">
        <w:rPr>
          <w:rFonts w:cs="Times New Roman"/>
          <w:sz w:val="24"/>
        </w:rPr>
        <w:t>can be</w:t>
      </w:r>
      <w:r w:rsidR="006B7ABC" w:rsidRPr="00B759D0">
        <w:rPr>
          <w:rFonts w:cs="Times New Roman"/>
          <w:sz w:val="24"/>
        </w:rPr>
        <w:t xml:space="preserve"> more a measure of student satisfaction</w:t>
      </w:r>
      <w:r w:rsidR="00CF2253" w:rsidRPr="00B759D0">
        <w:rPr>
          <w:rFonts w:cs="Times New Roman"/>
          <w:sz w:val="24"/>
        </w:rPr>
        <w:t xml:space="preserve"> than learning</w:t>
      </w:r>
      <w:r w:rsidR="006B7ABC" w:rsidRPr="00B759D0">
        <w:rPr>
          <w:rFonts w:cs="Times New Roman"/>
          <w:sz w:val="24"/>
        </w:rPr>
        <w:t xml:space="preserve"> (Bed</w:t>
      </w:r>
      <w:r w:rsidR="003C0073" w:rsidRPr="00B759D0">
        <w:rPr>
          <w:rFonts w:cs="Times New Roman"/>
          <w:sz w:val="24"/>
        </w:rPr>
        <w:t>g</w:t>
      </w:r>
      <w:r w:rsidR="006B7ABC" w:rsidRPr="00B759D0">
        <w:rPr>
          <w:rFonts w:cs="Times New Roman"/>
          <w:sz w:val="24"/>
        </w:rPr>
        <w:t xml:space="preserve">good &amp; Donovan 2012). </w:t>
      </w:r>
      <w:r w:rsidR="006C08A2" w:rsidRPr="00B759D0">
        <w:rPr>
          <w:rFonts w:cs="Times New Roman"/>
          <w:sz w:val="24"/>
        </w:rPr>
        <w:t xml:space="preserve">The model is also </w:t>
      </w:r>
      <w:r w:rsidR="006C08A2" w:rsidRPr="00B759D0">
        <w:rPr>
          <w:rFonts w:cs="Times New Roman"/>
          <w:sz w:val="24"/>
          <w:lang w:val="en-AU"/>
        </w:rPr>
        <w:t xml:space="preserve">costly, complex, resource-intensive, and assumes that </w:t>
      </w:r>
      <w:r w:rsidR="006C08A2" w:rsidRPr="00B759D0">
        <w:rPr>
          <w:rFonts w:cs="Times New Roman"/>
          <w:sz w:val="24"/>
        </w:rPr>
        <w:t>subject specialists have the commitment and capacity to work with students’ writing development, or at least are willing to acquire these skills ‘on the job’.</w:t>
      </w:r>
    </w:p>
    <w:p w14:paraId="7BC134F7" w14:textId="47688DAE" w:rsidR="004D7323" w:rsidRPr="00B759D0" w:rsidRDefault="004D7323" w:rsidP="00841A7D">
      <w:pPr>
        <w:spacing w:line="360" w:lineRule="auto"/>
        <w:jc w:val="left"/>
        <w:rPr>
          <w:rFonts w:cs="Times New Roman"/>
          <w:sz w:val="24"/>
        </w:rPr>
      </w:pPr>
      <w:r w:rsidRPr="00B759D0">
        <w:rPr>
          <w:rFonts w:cs="Times New Roman"/>
          <w:sz w:val="24"/>
        </w:rPr>
        <w:t>Most subject lecturers are not academic writing specialists and may lack the pedagogical tools to integrate this disciplinary knowledge into their practice. Some subject lecturers avoid dealing with writing development (Lillis, 2001; Bergman, 2016) or struggle, as disciplinary writing knowledge is often tacit (Haggis 2006;</w:t>
      </w:r>
      <w:r w:rsidR="006D78EF" w:rsidRPr="00B759D0">
        <w:rPr>
          <w:rFonts w:cs="Times New Roman"/>
          <w:sz w:val="24"/>
        </w:rPr>
        <w:t xml:space="preserve"> </w:t>
      </w:r>
      <w:r w:rsidRPr="00B759D0">
        <w:rPr>
          <w:rFonts w:cs="Times New Roman"/>
          <w:sz w:val="24"/>
        </w:rPr>
        <w:t>Elton, 2010</w:t>
      </w:r>
      <w:r w:rsidR="006D78EF" w:rsidRPr="00B759D0">
        <w:rPr>
          <w:rFonts w:cs="Times New Roman"/>
          <w:sz w:val="24"/>
        </w:rPr>
        <w:t xml:space="preserve">; </w:t>
      </w:r>
      <w:r w:rsidR="006D78EF" w:rsidRPr="00652EE3">
        <w:rPr>
          <w:rFonts w:cs="Times New Roman"/>
          <w:sz w:val="24"/>
        </w:rPr>
        <w:t>McGrath</w:t>
      </w:r>
      <w:r w:rsidR="00652EE3" w:rsidRPr="00652EE3">
        <w:rPr>
          <w:rFonts w:cs="Times New Roman"/>
          <w:sz w:val="24"/>
        </w:rPr>
        <w:t xml:space="preserve"> et al.</w:t>
      </w:r>
      <w:r w:rsidR="006D78EF" w:rsidRPr="00652EE3">
        <w:rPr>
          <w:rFonts w:cs="Times New Roman"/>
          <w:sz w:val="24"/>
        </w:rPr>
        <w:t>, 2019</w:t>
      </w:r>
      <w:r w:rsidRPr="00652EE3">
        <w:rPr>
          <w:rFonts w:cs="Times New Roman"/>
          <w:sz w:val="24"/>
        </w:rPr>
        <w:t>)</w:t>
      </w:r>
      <w:r w:rsidRPr="00B759D0">
        <w:rPr>
          <w:rFonts w:cs="Times New Roman"/>
          <w:sz w:val="24"/>
        </w:rPr>
        <w:t xml:space="preserve"> and developed through discourse community membership (Swales, 1990). Thus, while subject lecturers can write the assignments they set, they are not necessarily aware of their own expectations of those assignments (Lillis </w:t>
      </w:r>
      <w:r w:rsidR="007C34A3">
        <w:rPr>
          <w:rFonts w:cs="Times New Roman"/>
          <w:sz w:val="24"/>
        </w:rPr>
        <w:t>&amp;</w:t>
      </w:r>
      <w:r w:rsidRPr="00B759D0">
        <w:rPr>
          <w:rFonts w:cs="Times New Roman"/>
          <w:sz w:val="24"/>
        </w:rPr>
        <w:t xml:space="preserve"> Turner, 2001), or cannot articulate them (Dysthe, 2002). </w:t>
      </w:r>
      <w:r w:rsidR="00175FA7" w:rsidRPr="00B759D0">
        <w:rPr>
          <w:rFonts w:cs="Times New Roman"/>
          <w:sz w:val="24"/>
        </w:rPr>
        <w:t>This predicament is likely more acute among early-career lecturers who are new to university assessment processes and the genres students are expected to produce.</w:t>
      </w:r>
    </w:p>
    <w:p w14:paraId="772AE77A" w14:textId="76C11B5C" w:rsidR="006C08A2" w:rsidRPr="00B759D0" w:rsidRDefault="00BE27A1" w:rsidP="00841A7D">
      <w:pPr>
        <w:spacing w:line="360" w:lineRule="auto"/>
        <w:jc w:val="left"/>
        <w:rPr>
          <w:rFonts w:cs="Times New Roman"/>
          <w:sz w:val="24"/>
        </w:rPr>
      </w:pPr>
      <w:r w:rsidRPr="00B759D0">
        <w:rPr>
          <w:rFonts w:cs="Times New Roman"/>
          <w:sz w:val="24"/>
        </w:rPr>
        <w:t xml:space="preserve">Tuck warns against framing subject lecturers as “deficient in developing students’ writing” (2018, p. 10) and this is certainly not our purpose. We recognise the many obstacles that subject lecturers face, particularly early-career lecturers. These include structural barriers (Bergman, 2016; Fenton-Smith et al., 2017). For instance, in the UK, HE policy neglects students’ writing (Nicholls, 2020; Heron et al. 2021) or reduces writing to accuracy in spelling and grammar (Office for Students, 2021). </w:t>
      </w:r>
      <w:r w:rsidR="006C08A2" w:rsidRPr="00B759D0">
        <w:rPr>
          <w:rFonts w:cs="Times New Roman"/>
          <w:sz w:val="24"/>
        </w:rPr>
        <w:t xml:space="preserve">Guidance on how to deliver writing development, or how early-career lecturers can be prepared to work with students’ writing development, is notably absent. Many universities do mandate or encourage inexperienced lecturers to obtain an HE teaching qualification, such as a UK Postgraduate Certificate (PGCHE), delivered by academic developers. These </w:t>
      </w:r>
      <w:r w:rsidR="006C08A2" w:rsidRPr="00B759D0">
        <w:rPr>
          <w:rFonts w:cs="Times New Roman"/>
          <w:sz w:val="24"/>
        </w:rPr>
        <w:lastRenderedPageBreak/>
        <w:t xml:space="preserve">qualifications often require lecturers to align their practice to Advance HE’s UK Professional Standards Framework </w:t>
      </w:r>
      <w:r w:rsidR="00652EE3">
        <w:rPr>
          <w:rFonts w:cs="Times New Roman"/>
          <w:sz w:val="24"/>
        </w:rPr>
        <w:t>(HEA, 2011).</w:t>
      </w:r>
      <w:r w:rsidR="006C08A2" w:rsidRPr="00B759D0">
        <w:rPr>
          <w:rFonts w:cs="Times New Roman"/>
          <w:sz w:val="24"/>
        </w:rPr>
        <w:t xml:space="preserve"> The UKPSF dimensions of practice are broad, yet within the ‘core knowledge’ dimension, no reference is made to how lecturers can develop their students' writing. In addition, recommended course textbooks (such as Biggs </w:t>
      </w:r>
      <w:r w:rsidR="007C34A3">
        <w:rPr>
          <w:rFonts w:cs="Times New Roman"/>
          <w:sz w:val="24"/>
        </w:rPr>
        <w:t>&amp;</w:t>
      </w:r>
      <w:r w:rsidR="006C08A2" w:rsidRPr="00B759D0">
        <w:rPr>
          <w:rFonts w:cs="Times New Roman"/>
          <w:sz w:val="24"/>
        </w:rPr>
        <w:t xml:space="preserve"> Tang, 2011) do not address this aspect of professional competence. </w:t>
      </w:r>
    </w:p>
    <w:p w14:paraId="43FF2895" w14:textId="6B4D7391" w:rsidR="006C08A2" w:rsidRPr="00B759D0" w:rsidRDefault="006C08A2" w:rsidP="00841A7D">
      <w:pPr>
        <w:spacing w:line="360" w:lineRule="auto"/>
        <w:jc w:val="left"/>
        <w:rPr>
          <w:rFonts w:cs="Times New Roman"/>
          <w:sz w:val="24"/>
        </w:rPr>
      </w:pPr>
      <w:r w:rsidRPr="00B759D0">
        <w:rPr>
          <w:rFonts w:cs="Times New Roman"/>
          <w:sz w:val="24"/>
        </w:rPr>
        <w:t>A key question then is how might HE address the lack of attention to students’ academic witing development in early-career lecturers’ training, and who would lead that initiative? Percy (2014) has called for academic writing specialists and academic developers to collaborate to promote "the development of language and learning simultaneously" (p. 1203). An extension of this type of collaboration to lecturer training could have potential; however, the organisation of universities places stakeholders in students’ writing development in departmental or professional services silos: academic developers, EAP lecturers, study skills specialists and subject lecturers are often located in separate faculties or directorates. Academic developers work with faculty and lead on PGCHEs, but their expertise may not extend to writing. EAP lecturers undertake multiple roles at the university (Hoadley &amp; Hunter, 2018; Nicholls, 2021), but they are traditionally (international) student-facing, which means those lecturers may not have been trained or sit comfortably in an academic development role (see for example the BALEAP</w:t>
      </w:r>
      <w:r w:rsidRPr="00B759D0">
        <w:rPr>
          <w:rStyle w:val="FootnoteReference"/>
          <w:rFonts w:cs="Times New Roman"/>
          <w:sz w:val="24"/>
        </w:rPr>
        <w:footnoteReference w:id="1"/>
      </w:r>
      <w:r w:rsidRPr="00B759D0">
        <w:rPr>
          <w:rFonts w:cs="Times New Roman"/>
          <w:sz w:val="24"/>
        </w:rPr>
        <w:t xml:space="preserve"> competency framework for teachers of English for </w:t>
      </w:r>
      <w:r w:rsidR="00F8754D" w:rsidRPr="00B759D0">
        <w:rPr>
          <w:rFonts w:cs="Times New Roman"/>
          <w:sz w:val="24"/>
        </w:rPr>
        <w:t>A</w:t>
      </w:r>
      <w:r w:rsidRPr="00B759D0">
        <w:rPr>
          <w:rFonts w:cs="Times New Roman"/>
          <w:sz w:val="24"/>
        </w:rPr>
        <w:t>cademic Purposes).</w:t>
      </w:r>
    </w:p>
    <w:p w14:paraId="551D4A7C" w14:textId="4C914842" w:rsidR="006C08A2" w:rsidRPr="00B759D0" w:rsidRDefault="006C08A2" w:rsidP="00841A7D">
      <w:pPr>
        <w:spacing w:line="360" w:lineRule="auto"/>
        <w:jc w:val="left"/>
        <w:rPr>
          <w:rFonts w:cs="Times New Roman"/>
          <w:sz w:val="24"/>
        </w:rPr>
      </w:pPr>
      <w:r w:rsidRPr="00B759D0">
        <w:rPr>
          <w:rFonts w:cs="Times New Roman"/>
          <w:sz w:val="24"/>
        </w:rPr>
        <w:t xml:space="preserve">These silos, roles and perhaps identities render tripartite collaboration difficult to establish and maintain, and thus there is a “notable dearth of literature that explores the notion of [subject lecturers] taking a primary role in developing students’ literacy skills [...] This is likely because implementation comes with considerable challenges” (Murray, 2022, p.4). </w:t>
      </w:r>
      <w:r w:rsidR="00EC03DB" w:rsidRPr="00B759D0">
        <w:rPr>
          <w:rFonts w:cs="Times New Roman"/>
          <w:sz w:val="24"/>
        </w:rPr>
        <w:t>W</w:t>
      </w:r>
      <w:r w:rsidRPr="00B759D0">
        <w:rPr>
          <w:rFonts w:cs="Times New Roman"/>
          <w:sz w:val="24"/>
        </w:rPr>
        <w:t xml:space="preserve">e </w:t>
      </w:r>
      <w:r w:rsidR="00720E2A" w:rsidRPr="00B759D0">
        <w:rPr>
          <w:rFonts w:cs="Times New Roman"/>
          <w:sz w:val="24"/>
        </w:rPr>
        <w:t>agree</w:t>
      </w:r>
      <w:r w:rsidRPr="00B759D0">
        <w:rPr>
          <w:rFonts w:cs="Times New Roman"/>
          <w:sz w:val="24"/>
        </w:rPr>
        <w:t xml:space="preserve"> </w:t>
      </w:r>
      <w:r w:rsidR="00EC03DB" w:rsidRPr="00B759D0">
        <w:rPr>
          <w:rFonts w:cs="Times New Roman"/>
          <w:sz w:val="24"/>
        </w:rPr>
        <w:t xml:space="preserve">with Murray </w:t>
      </w:r>
      <w:r w:rsidRPr="00B759D0">
        <w:rPr>
          <w:rFonts w:cs="Times New Roman"/>
          <w:sz w:val="24"/>
        </w:rPr>
        <w:t xml:space="preserve">that studies are needed that explore how such challenges can be overcome to inform university strategy and plug gaps in lecturer training syllabi. Thus, our case study explored an ‘inside’ (rather than outside or top-down) (Benzie et al., 2017) process of collaboration and investigation which aimed to foster an early-career subject lecturer’s capacity and commitment to integrate disciplinary writing development in her teaching. The case study comprised Author 1, an EAP lecturer and researcher with no background in teacher development (Literacy specialist, LS), Author 2 an academic developer and researcher (AD), and the early-career subject </w:t>
      </w:r>
      <w:r w:rsidRPr="00B759D0">
        <w:rPr>
          <w:rFonts w:cs="Times New Roman"/>
          <w:sz w:val="24"/>
        </w:rPr>
        <w:lastRenderedPageBreak/>
        <w:t xml:space="preserve">lecturer (SL). Our aim was to </w:t>
      </w:r>
      <w:r w:rsidR="00EF44DB" w:rsidRPr="00B759D0">
        <w:rPr>
          <w:rFonts w:cs="Times New Roman"/>
          <w:sz w:val="24"/>
        </w:rPr>
        <w:t xml:space="preserve">a) </w:t>
      </w:r>
      <w:r w:rsidRPr="00B759D0">
        <w:rPr>
          <w:rFonts w:cs="Times New Roman"/>
          <w:sz w:val="24"/>
        </w:rPr>
        <w:t>explore the design and implementation of a collaborative and scaffolded process to support our participant in reaching an understanding of the writing skills</w:t>
      </w:r>
      <w:r w:rsidR="00EF44DB" w:rsidRPr="00B759D0">
        <w:rPr>
          <w:rFonts w:cs="Times New Roman"/>
          <w:sz w:val="24"/>
        </w:rPr>
        <w:t xml:space="preserve"> </w:t>
      </w:r>
      <w:r w:rsidRPr="00B759D0">
        <w:rPr>
          <w:rFonts w:cs="Times New Roman"/>
          <w:sz w:val="24"/>
        </w:rPr>
        <w:t xml:space="preserve">required by </w:t>
      </w:r>
      <w:r w:rsidR="005F262D" w:rsidRPr="00B759D0">
        <w:rPr>
          <w:rFonts w:cs="Times New Roman"/>
          <w:sz w:val="24"/>
        </w:rPr>
        <w:t>the</w:t>
      </w:r>
      <w:r w:rsidRPr="00B759D0">
        <w:rPr>
          <w:rFonts w:cs="Times New Roman"/>
          <w:sz w:val="24"/>
        </w:rPr>
        <w:t xml:space="preserve"> assignment</w:t>
      </w:r>
      <w:r w:rsidR="005F262D" w:rsidRPr="00B759D0">
        <w:rPr>
          <w:rFonts w:cs="Times New Roman"/>
          <w:sz w:val="24"/>
        </w:rPr>
        <w:t xml:space="preserve"> she sets her students</w:t>
      </w:r>
      <w:r w:rsidR="00EF44DB" w:rsidRPr="00B759D0">
        <w:rPr>
          <w:rFonts w:cs="Times New Roman"/>
          <w:sz w:val="24"/>
        </w:rPr>
        <w:t xml:space="preserve"> and b) </w:t>
      </w:r>
      <w:r w:rsidRPr="00B759D0">
        <w:rPr>
          <w:rFonts w:cs="Times New Roman"/>
          <w:sz w:val="24"/>
        </w:rPr>
        <w:t xml:space="preserve">to support her in planning how these can be taught to students in a disciplinary contextualised way. Our study therefore makes the following contribution: we build on the results of </w:t>
      </w:r>
      <w:r w:rsidR="006D78EF" w:rsidRPr="00B759D0">
        <w:rPr>
          <w:rFonts w:cs="Times New Roman"/>
          <w:sz w:val="24"/>
        </w:rPr>
        <w:t>McGrath and colleagues’ (2019)</w:t>
      </w:r>
      <w:r w:rsidRPr="00B759D0">
        <w:rPr>
          <w:rFonts w:cs="Times New Roman"/>
          <w:sz w:val="24"/>
        </w:rPr>
        <w:t xml:space="preserve"> development of metacognitive tasks to render explicit early-career subject lecturers' tacit knowledge of disciplinary writing by incorporating those tasks in a longer programme of professional development. Second, we demonstrate through this programme how writing tools rooted in genre-based pedagogy can be successfully integrated into early subject lecturers’ practice</w:t>
      </w:r>
      <w:r w:rsidR="002A5CF8" w:rsidRPr="00B759D0">
        <w:rPr>
          <w:rFonts w:cs="Times New Roman"/>
          <w:sz w:val="24"/>
        </w:rPr>
        <w:t xml:space="preserve"> – how a subject lecturer can learn to deliver genre based academic writing instruction to her students</w:t>
      </w:r>
      <w:r w:rsidRPr="00B759D0">
        <w:rPr>
          <w:rFonts w:cs="Times New Roman"/>
          <w:sz w:val="24"/>
        </w:rPr>
        <w:t>. Third, we suggest that with support, EAP lecturers can contribute to early-career subject lecturers’ professional development in this area.</w:t>
      </w:r>
    </w:p>
    <w:p w14:paraId="6821B905" w14:textId="2769146F" w:rsidR="006A58CF" w:rsidRPr="00B759D0" w:rsidRDefault="006C08A2" w:rsidP="00841A7D">
      <w:pPr>
        <w:pStyle w:val="Heading1"/>
        <w:jc w:val="left"/>
      </w:pPr>
      <w:r w:rsidRPr="00B759D0">
        <w:t>Theoretical framework: genre and dialogism</w:t>
      </w:r>
    </w:p>
    <w:p w14:paraId="038C395D" w14:textId="5DC6EE08" w:rsidR="006C08A2" w:rsidRPr="00B759D0" w:rsidRDefault="006C08A2" w:rsidP="00841A7D">
      <w:pPr>
        <w:spacing w:line="360" w:lineRule="auto"/>
        <w:jc w:val="left"/>
        <w:rPr>
          <w:rFonts w:cs="Times New Roman"/>
          <w:sz w:val="24"/>
        </w:rPr>
      </w:pPr>
      <w:r w:rsidRPr="00B759D0">
        <w:rPr>
          <w:rFonts w:cs="Times New Roman"/>
          <w:sz w:val="24"/>
        </w:rPr>
        <w:t>We view disciplinary writing through the prism of genre theory (Swales, 1990; Tardy, 2009). Swales defines genre as a class of communicative events, a category at the text/context nexus. Thus the knowledge a student needs to complete assignments transcends linguistic competence—the ‘genre knowledge’ required is multifaceted, comprising knowledge of the text, as well as “less visible knowledge” (Tardy</w:t>
      </w:r>
      <w:r w:rsidR="00137CB1" w:rsidRPr="00B759D0">
        <w:rPr>
          <w:rFonts w:cs="Times New Roman"/>
          <w:sz w:val="24"/>
        </w:rPr>
        <w:t>,</w:t>
      </w:r>
      <w:r w:rsidRPr="00B759D0">
        <w:rPr>
          <w:rFonts w:cs="Times New Roman"/>
          <w:sz w:val="24"/>
        </w:rPr>
        <w:t> </w:t>
      </w:r>
      <w:hyperlink r:id="rId10" w:anchor="ref-CR40" w:tooltip="Tardy, C. M. (2009). Building genre knowledge. West Lafayette: Parlor Press." w:history="1">
        <w:r w:rsidRPr="00B759D0">
          <w:rPr>
            <w:rFonts w:cs="Times New Roman"/>
            <w:sz w:val="24"/>
          </w:rPr>
          <w:t>2009</w:t>
        </w:r>
      </w:hyperlink>
      <w:r w:rsidRPr="00B759D0">
        <w:rPr>
          <w:rFonts w:cs="Times New Roman"/>
          <w:sz w:val="24"/>
        </w:rPr>
        <w:t>, p. 19) such as disciplinary/professional values, ideologies and epistemology. Different genres (a report, a reflection, an email) have their own conventions tied to authorial intention and audience expectations.</w:t>
      </w:r>
    </w:p>
    <w:p w14:paraId="358162FA" w14:textId="0ACB3C1A" w:rsidR="006C08A2" w:rsidRPr="00B759D0" w:rsidRDefault="006C08A2" w:rsidP="00841A7D">
      <w:pPr>
        <w:spacing w:line="360" w:lineRule="auto"/>
        <w:jc w:val="left"/>
        <w:rPr>
          <w:rFonts w:cs="Times New Roman"/>
          <w:sz w:val="24"/>
        </w:rPr>
      </w:pPr>
      <w:r w:rsidRPr="00B759D0">
        <w:rPr>
          <w:rFonts w:cs="Times New Roman"/>
          <w:sz w:val="24"/>
        </w:rPr>
        <w:t>We draw on Tardy’s (2009) conceptualisation of genre specific knowledge, which comprises four facets, understood here as the ability to successfully write the assignment set by our participant. These four facets are formal knowledge: the lexicogrammar and structure, the conventionalised textual form of the genre; rhetorical knowledge: the intended purpose, author positionality and audience awareness, and disciplinary values; process knowledge: the ‘procedural practices’ involved in producing the genre such as literature searches and composition, and what will happen to the genre on completion (e.g., how it will be assessed); and subject-matter knowledge: the content learned in the disciplines (Tardy</w:t>
      </w:r>
      <w:r w:rsidR="00137CB1" w:rsidRPr="00B759D0">
        <w:rPr>
          <w:rFonts w:cs="Times New Roman"/>
          <w:sz w:val="24"/>
        </w:rPr>
        <w:t>,</w:t>
      </w:r>
      <w:r w:rsidRPr="00B759D0">
        <w:rPr>
          <w:rFonts w:cs="Times New Roman"/>
          <w:sz w:val="24"/>
        </w:rPr>
        <w:t> </w:t>
      </w:r>
      <w:hyperlink r:id="rId11" w:anchor="ref-CR40" w:tooltip="Tardy, C. M. (2009). Building genre knowledge. West Lafayette: Parlor Press." w:history="1">
        <w:r w:rsidRPr="00B759D0">
          <w:rPr>
            <w:rFonts w:cs="Times New Roman"/>
            <w:sz w:val="24"/>
          </w:rPr>
          <w:t>2009</w:t>
        </w:r>
      </w:hyperlink>
      <w:r w:rsidRPr="00B759D0">
        <w:rPr>
          <w:rFonts w:cs="Times New Roman"/>
          <w:sz w:val="24"/>
        </w:rPr>
        <w:t>, p. 21).</w:t>
      </w:r>
      <w:r w:rsidR="00F44DEE" w:rsidRPr="00B759D0">
        <w:rPr>
          <w:rFonts w:cs="Times New Roman"/>
          <w:sz w:val="24"/>
        </w:rPr>
        <w:t xml:space="preserve"> The advantage of this conceptualisation lies in its explicit focus on the multi-componential nature of academic writing knowledge: in other </w:t>
      </w:r>
      <w:r w:rsidR="00F44DEE" w:rsidRPr="00B759D0">
        <w:rPr>
          <w:rFonts w:cs="Times New Roman"/>
          <w:sz w:val="24"/>
        </w:rPr>
        <w:lastRenderedPageBreak/>
        <w:t>words, academic writing is not simply a matter of getting the spelling and grammar right.</w:t>
      </w:r>
    </w:p>
    <w:p w14:paraId="3FBEE185" w14:textId="45DCA9AE" w:rsidR="006C08A2" w:rsidRPr="00B759D0" w:rsidRDefault="006C08A2" w:rsidP="00841A7D">
      <w:pPr>
        <w:spacing w:line="360" w:lineRule="auto"/>
        <w:jc w:val="left"/>
        <w:rPr>
          <w:rFonts w:cs="Times New Roman"/>
          <w:sz w:val="24"/>
        </w:rPr>
      </w:pPr>
      <w:r w:rsidRPr="00B759D0">
        <w:rPr>
          <w:rFonts w:cs="Times New Roman"/>
          <w:sz w:val="24"/>
        </w:rPr>
        <w:t>Genre</w:t>
      </w:r>
      <w:r w:rsidR="00B048E7" w:rsidRPr="00B759D0">
        <w:rPr>
          <w:rFonts w:cs="Times New Roman"/>
          <w:sz w:val="24"/>
        </w:rPr>
        <w:t>-</w:t>
      </w:r>
      <w:r w:rsidRPr="00B759D0">
        <w:rPr>
          <w:rFonts w:cs="Times New Roman"/>
          <w:sz w:val="24"/>
        </w:rPr>
        <w:t>based pedagogy is underpinned by analysis tasks, helping students recognise genre conventions (Swales, 1990) and relate those conventions to the communicative context, while at the same time underscoring the potential for variation and subversion of those conventions in genre performance (Tardy, 2016;</w:t>
      </w:r>
      <w:r w:rsidR="006F3E06" w:rsidRPr="00B759D0">
        <w:rPr>
          <w:rFonts w:cs="Times New Roman"/>
          <w:sz w:val="24"/>
        </w:rPr>
        <w:t xml:space="preserve"> Negretti &amp; McGrath, 2020</w:t>
      </w:r>
      <w:r w:rsidRPr="00B759D0">
        <w:rPr>
          <w:rFonts w:cs="Times New Roman"/>
          <w:sz w:val="24"/>
        </w:rPr>
        <w:t>). Theoretical conceptualizations of genre awareness and development should therefore include more than fostering writing skills among early-career subject lecturers and need to be translated into learning tasks for both the subject lecturers (</w:t>
      </w:r>
      <w:r w:rsidR="006F3E06" w:rsidRPr="00B759D0">
        <w:rPr>
          <w:rFonts w:cs="Times New Roman"/>
          <w:sz w:val="24"/>
        </w:rPr>
        <w:t>McGrath et al., 2019</w:t>
      </w:r>
      <w:r w:rsidRPr="00B759D0">
        <w:rPr>
          <w:rFonts w:cs="Times New Roman"/>
          <w:sz w:val="24"/>
        </w:rPr>
        <w:t xml:space="preserve">) and the students they teach. Another important dimension of genre pedagogy is reflection and discussion. While analysis is step one in developing genre knowledge, it is only through dialogue and discussion with other students and community experts (Swales, 1990) that more nuanced dimensions of genre knowledge are developed. This dialogic element inherent in genre pedagogy is often overlooked, even though interaction with an expert insider has been shown to be a gateway to disciplinary literacy </w:t>
      </w:r>
      <w:r w:rsidR="00873BDA" w:rsidRPr="00B759D0">
        <w:rPr>
          <w:rFonts w:cs="Times New Roman"/>
          <w:sz w:val="24"/>
        </w:rPr>
        <w:t xml:space="preserve">(Negretti &amp; </w:t>
      </w:r>
      <w:r w:rsidR="00873BDA" w:rsidRPr="00B759D0">
        <w:rPr>
          <w:rFonts w:cs="Times New Roman"/>
          <w:color w:val="222222"/>
          <w:sz w:val="24"/>
          <w:shd w:val="clear" w:color="auto" w:fill="FFFFFF"/>
        </w:rPr>
        <w:t>Mežek, 2019).</w:t>
      </w:r>
    </w:p>
    <w:p w14:paraId="18DE76D9" w14:textId="6728F49C" w:rsidR="006C08A2" w:rsidRPr="00B759D0" w:rsidRDefault="006C08A2" w:rsidP="00841A7D">
      <w:pPr>
        <w:spacing w:line="360" w:lineRule="auto"/>
        <w:jc w:val="left"/>
        <w:rPr>
          <w:rFonts w:cs="Times New Roman"/>
          <w:sz w:val="24"/>
        </w:rPr>
      </w:pPr>
      <w:r w:rsidRPr="00B759D0">
        <w:rPr>
          <w:rFonts w:cs="Times New Roman"/>
          <w:sz w:val="24"/>
        </w:rPr>
        <w:t>Our study is thus also shaped by dialogism, in that it is central to constructive collaboration: the development of thinking, learning and knowledge occurs through talk, i.e., expressing, questioning, critiquing and negotiating ideas and opinions in an atmosphere of equality, collectivity, reciprocity and accountability (Alexander, 2020; Mercer &amp; Littleton, 2007; Reznitskaya et al., 2009). Dialogism has its origins in Bakhtin's (1981) theory of dialogism, Vygotsky's (</w:t>
      </w:r>
      <w:r w:rsidRPr="00652EE3">
        <w:rPr>
          <w:rFonts w:cs="Times New Roman"/>
          <w:sz w:val="24"/>
        </w:rPr>
        <w:t>1978)</w:t>
      </w:r>
      <w:r w:rsidRPr="00B759D0">
        <w:rPr>
          <w:rFonts w:cs="Times New Roman"/>
          <w:sz w:val="24"/>
        </w:rPr>
        <w:t xml:space="preserve"> sociocultural theory of learning, and Freire’s (1970) concept of dialogic pedagogy. Bakhtin and Vygotsky both locate learning in and through social interaction. Bakhtin (</w:t>
      </w:r>
      <w:r w:rsidR="00652EE3">
        <w:rPr>
          <w:rFonts w:cs="Times New Roman"/>
          <w:sz w:val="24"/>
        </w:rPr>
        <w:t>2010</w:t>
      </w:r>
      <w:r w:rsidRPr="00B759D0">
        <w:rPr>
          <w:rFonts w:cs="Times New Roman"/>
          <w:sz w:val="24"/>
        </w:rPr>
        <w:t xml:space="preserve">) argues that thinking and learning happen via dialogic speech - the interactive act of drawing from, rearticulating, anticipating and responding to the ‘utterances’ of others. Vygotsky (1962) highlights the mediating role of language and social interaction in learning, arguing that language works as both a communicative and psychological tool, facilitating social interaction and the internalisation of knowledge and skills. Thus, rather than seeing learning as an individual cognitive activity whereby students receive, accept and assimilate facts, Bakhtin and Vygotsky see learning as a social activity involving active engagement and negotiation during interaction. This difference is illustrated by Freire’s (1970) re-framing of students as receivers of knowledge (the ‘banking’ model) to co-constructors of knowledge (the ‘problem-solving’ model). Teo (2019) describes the dialogic process at work: </w:t>
      </w:r>
    </w:p>
    <w:p w14:paraId="298219E8" w14:textId="77777777" w:rsidR="006C08A2" w:rsidRPr="00B759D0" w:rsidRDefault="006C08A2" w:rsidP="00841A7D">
      <w:pPr>
        <w:spacing w:line="360" w:lineRule="auto"/>
        <w:ind w:left="720"/>
        <w:jc w:val="left"/>
        <w:rPr>
          <w:rFonts w:cs="Times New Roman"/>
          <w:sz w:val="24"/>
        </w:rPr>
      </w:pPr>
      <w:r w:rsidRPr="00B759D0">
        <w:rPr>
          <w:rFonts w:cs="Times New Roman"/>
          <w:sz w:val="24"/>
        </w:rPr>
        <w:lastRenderedPageBreak/>
        <w:t>… for cognitive development and learning to take place, there must be an active grappling and wrestling with new, different and unfamiliar ideas in relation to ideas that are already familiar, accepted and internalized as knowledge or even wisdom. This grappling and wrestling, manifest through earnest probing, questioning and challenging, may or may not lead to agreement or even conciliation, but should broaden and deepen one's views and lead to an honest revaluation of one's idea or position in relation to those of others. In this way, knowledge is co-constructed, understandings recalibrated, and learning deepened. (p. 172)</w:t>
      </w:r>
    </w:p>
    <w:p w14:paraId="1DBD533A" w14:textId="032EA639" w:rsidR="006C08A2" w:rsidRPr="00B759D0" w:rsidRDefault="006C08A2" w:rsidP="00841A7D">
      <w:pPr>
        <w:spacing w:line="360" w:lineRule="auto"/>
        <w:jc w:val="left"/>
        <w:rPr>
          <w:rFonts w:cs="Times New Roman"/>
          <w:sz w:val="24"/>
        </w:rPr>
      </w:pPr>
      <w:r w:rsidRPr="00B759D0">
        <w:rPr>
          <w:rFonts w:cs="Times New Roman"/>
          <w:sz w:val="24"/>
        </w:rPr>
        <w:t xml:space="preserve">Applying this dual lens allows us to not only document the developments in our participant’s practice; we can also tease out the dialogic and collaborative ‘grappling and wrestling’ with ideas that led to that development. </w:t>
      </w:r>
    </w:p>
    <w:p w14:paraId="4FBBFCE4" w14:textId="3C35B8E2" w:rsidR="006C08A2" w:rsidRPr="00B759D0" w:rsidRDefault="006C08A2" w:rsidP="00841A7D">
      <w:pPr>
        <w:pStyle w:val="Heading1"/>
        <w:jc w:val="left"/>
      </w:pPr>
      <w:r w:rsidRPr="00B759D0">
        <w:t>Methodology</w:t>
      </w:r>
    </w:p>
    <w:p w14:paraId="64AAB07B" w14:textId="7C00AE46" w:rsidR="006C08A2" w:rsidRPr="00B759D0" w:rsidRDefault="00BD7F1C" w:rsidP="00841A7D">
      <w:pPr>
        <w:spacing w:line="360" w:lineRule="auto"/>
        <w:jc w:val="left"/>
        <w:rPr>
          <w:rFonts w:cs="Times New Roman"/>
          <w:sz w:val="24"/>
          <w:lang w:val="en-US"/>
        </w:rPr>
      </w:pPr>
      <w:r w:rsidRPr="00B759D0">
        <w:rPr>
          <w:rFonts w:cs="Times New Roman"/>
          <w:sz w:val="24"/>
        </w:rPr>
        <w:t>We adopted a qualitative exploratory case study approach to show the complexity of our collaboration, how it unfolded over time, and why it led to certain outcomes (</w:t>
      </w:r>
      <w:r w:rsidR="006C08A2" w:rsidRPr="00B759D0">
        <w:rPr>
          <w:rFonts w:cs="Times New Roman"/>
          <w:sz w:val="24"/>
        </w:rPr>
        <w:t>Mills et al., 2010</w:t>
      </w:r>
      <w:r w:rsidR="00F3206E">
        <w:rPr>
          <w:rFonts w:cs="Times New Roman"/>
          <w:sz w:val="24"/>
        </w:rPr>
        <w:t>;</w:t>
      </w:r>
      <w:r w:rsidR="006C08A2" w:rsidRPr="00B759D0">
        <w:rPr>
          <w:rFonts w:cs="Times New Roman"/>
          <w:sz w:val="24"/>
        </w:rPr>
        <w:t xml:space="preserve"> Yin, 2009). Exploratory case studies enable an in-depth understanding of real-life phenomena in their complex contextual conditions. Flyvbjerg (2011</w:t>
      </w:r>
      <w:r w:rsidR="006C08A2" w:rsidRPr="00B759D0">
        <w:rPr>
          <w:rFonts w:cs="Times New Roman"/>
          <w:sz w:val="24"/>
          <w:lang w:val="en-US"/>
        </w:rPr>
        <w:t>, p. 302</w:t>
      </w:r>
      <w:r w:rsidR="006C08A2" w:rsidRPr="00B759D0">
        <w:rPr>
          <w:rFonts w:cs="Times New Roman"/>
          <w:sz w:val="24"/>
        </w:rPr>
        <w:t xml:space="preserve">) </w:t>
      </w:r>
      <w:r w:rsidR="006C08A2" w:rsidRPr="00B759D0">
        <w:rPr>
          <w:rFonts w:cs="Times New Roman"/>
          <w:sz w:val="24"/>
          <w:lang w:val="en-US"/>
        </w:rPr>
        <w:t xml:space="preserve">emphasizes: “… the case study produces the type of concrete, context-dependent knowledge that research on learning shows to be necessary to allow people to develop from rule-based beginners to virtuoso experts.” As such, the case study enables a detailed and contextualized description of how collaboration could be scaffolded for replication or adaptation in other educational contexts. </w:t>
      </w:r>
    </w:p>
    <w:p w14:paraId="03415E11" w14:textId="2050D191" w:rsidR="006C08A2" w:rsidRPr="00B759D0" w:rsidRDefault="006C08A2" w:rsidP="00841A7D">
      <w:pPr>
        <w:spacing w:line="360" w:lineRule="auto"/>
        <w:jc w:val="left"/>
        <w:rPr>
          <w:rFonts w:cs="Times New Roman"/>
          <w:sz w:val="24"/>
        </w:rPr>
      </w:pPr>
      <w:r w:rsidRPr="00B759D0">
        <w:rPr>
          <w:rFonts w:cs="Times New Roman"/>
          <w:sz w:val="24"/>
        </w:rPr>
        <w:t xml:space="preserve">In case study research, a crucial step is </w:t>
      </w:r>
      <w:r w:rsidR="00BD058C" w:rsidRPr="00B759D0">
        <w:rPr>
          <w:rFonts w:cs="Times New Roman"/>
          <w:sz w:val="24"/>
        </w:rPr>
        <w:t>selecting</w:t>
      </w:r>
      <w:r w:rsidRPr="00B759D0">
        <w:rPr>
          <w:rFonts w:cs="Times New Roman"/>
          <w:sz w:val="24"/>
        </w:rPr>
        <w:t xml:space="preserve"> a relevant case (Flyvbjerg, 2011). We required an early-career subject lecturer</w:t>
      </w:r>
      <w:r w:rsidR="00A63A72" w:rsidRPr="00B759D0">
        <w:rPr>
          <w:rFonts w:cs="Times New Roman"/>
          <w:sz w:val="24"/>
        </w:rPr>
        <w:t xml:space="preserve">. This was because we wanted to frame students’ academic writing development as part of disciplinary learning, and therefore it was useful to embed the project within an early career-lecturer teacher training programme. </w:t>
      </w:r>
      <w:r w:rsidRPr="00B759D0">
        <w:rPr>
          <w:rFonts w:cs="Times New Roman"/>
          <w:sz w:val="24"/>
        </w:rPr>
        <w:t xml:space="preserve">Sam (a pseudonym) was recruited from a PGCHE course at a university in northern England, where she has taught since 2016, first as an associate lecturer and then as a lecturer. Informed consent was obtained. Her field is media production, and she teaches both undergraduate and postgraduate students. Prior to her academic career, Sam spent over 20 years in professional practice. </w:t>
      </w:r>
    </w:p>
    <w:p w14:paraId="7DC25D8E" w14:textId="518F818F" w:rsidR="006C08A2" w:rsidRPr="00B759D0" w:rsidRDefault="000A0494" w:rsidP="00841A7D">
      <w:pPr>
        <w:autoSpaceDE w:val="0"/>
        <w:autoSpaceDN w:val="0"/>
        <w:adjustRightInd w:val="0"/>
        <w:spacing w:line="360" w:lineRule="auto"/>
        <w:jc w:val="left"/>
        <w:rPr>
          <w:rFonts w:cs="Times New Roman"/>
          <w:sz w:val="24"/>
        </w:rPr>
      </w:pPr>
      <w:r w:rsidRPr="00B759D0">
        <w:rPr>
          <w:rFonts w:cs="Times New Roman"/>
          <w:sz w:val="24"/>
        </w:rPr>
        <w:t xml:space="preserve">We </w:t>
      </w:r>
      <w:r w:rsidR="006C08A2" w:rsidRPr="00B759D0">
        <w:rPr>
          <w:rFonts w:cs="Times New Roman"/>
          <w:sz w:val="24"/>
        </w:rPr>
        <w:t>develop</w:t>
      </w:r>
      <w:r w:rsidRPr="00B759D0">
        <w:rPr>
          <w:rFonts w:cs="Times New Roman"/>
          <w:sz w:val="24"/>
        </w:rPr>
        <w:t>ed</w:t>
      </w:r>
      <w:r w:rsidR="006C08A2" w:rsidRPr="00B759D0">
        <w:rPr>
          <w:rFonts w:cs="Times New Roman"/>
          <w:sz w:val="24"/>
        </w:rPr>
        <w:t xml:space="preserve"> a sequence of activities with the objective of fostering our participant’s understanding of disciplinary writing and how writing development could be incorporated into her practice. The scheme comprised nine stages which meant extended </w:t>
      </w:r>
      <w:r w:rsidR="006C08A2" w:rsidRPr="00B759D0">
        <w:rPr>
          <w:rFonts w:cs="Times New Roman"/>
          <w:sz w:val="24"/>
        </w:rPr>
        <w:lastRenderedPageBreak/>
        <w:t>engagement with the participant and data collection from multiple points and sources in the process (see Figure 1):</w:t>
      </w:r>
    </w:p>
    <w:p w14:paraId="248C1750" w14:textId="77777777" w:rsidR="006C08A2" w:rsidRPr="00B759D0" w:rsidRDefault="006C08A2" w:rsidP="00841A7D">
      <w:pPr>
        <w:autoSpaceDE w:val="0"/>
        <w:autoSpaceDN w:val="0"/>
        <w:adjustRightInd w:val="0"/>
        <w:spacing w:line="360" w:lineRule="auto"/>
        <w:jc w:val="left"/>
        <w:rPr>
          <w:rFonts w:cs="Times New Roman"/>
          <w:sz w:val="24"/>
        </w:rPr>
      </w:pPr>
      <w:r w:rsidRPr="00B759D0">
        <w:rPr>
          <w:rFonts w:cs="Times New Roman"/>
          <w:noProof/>
          <w:sz w:val="24"/>
        </w:rPr>
        <w:drawing>
          <wp:inline distT="0" distB="0" distL="0" distR="0" wp14:anchorId="03442DA3" wp14:editId="69977112">
            <wp:extent cx="5731510" cy="2788920"/>
            <wp:effectExtent l="12700" t="12700" r="8890" b="17780"/>
            <wp:docPr id="1852254554" name="Picture 185225455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12"/>
                    <a:stretch>
                      <a:fillRect/>
                    </a:stretch>
                  </pic:blipFill>
                  <pic:spPr>
                    <a:xfrm>
                      <a:off x="0" y="0"/>
                      <a:ext cx="5731510" cy="2788920"/>
                    </a:xfrm>
                    <a:prstGeom prst="rect">
                      <a:avLst/>
                    </a:prstGeom>
                    <a:ln>
                      <a:solidFill>
                        <a:schemeClr val="tx2"/>
                      </a:solidFill>
                    </a:ln>
                  </pic:spPr>
                </pic:pic>
              </a:graphicData>
            </a:graphic>
          </wp:inline>
        </w:drawing>
      </w:r>
      <w:r w:rsidRPr="00B759D0">
        <w:rPr>
          <w:rFonts w:cs="Times New Roman"/>
          <w:sz w:val="24"/>
        </w:rPr>
        <w:t>Figure 1: Stages of the collaboration and data collection.</w:t>
      </w:r>
    </w:p>
    <w:p w14:paraId="2D6712E2" w14:textId="58DF204A" w:rsidR="006C08A2" w:rsidRPr="00B759D0" w:rsidRDefault="006C08A2" w:rsidP="00841A7D">
      <w:pPr>
        <w:autoSpaceDE w:val="0"/>
        <w:autoSpaceDN w:val="0"/>
        <w:adjustRightInd w:val="0"/>
        <w:spacing w:line="360" w:lineRule="auto"/>
        <w:jc w:val="left"/>
        <w:rPr>
          <w:rFonts w:cs="Times New Roman"/>
          <w:sz w:val="24"/>
        </w:rPr>
      </w:pPr>
      <w:r w:rsidRPr="00B759D0">
        <w:rPr>
          <w:rFonts w:cs="Times New Roman"/>
          <w:sz w:val="24"/>
        </w:rPr>
        <w:t>We began with a questionnaire (1) probing her existing conceptualisations of disciplinary writing. Sam then completed three metacognitive scaffolding tasks</w:t>
      </w:r>
      <w:r w:rsidR="00A63A72" w:rsidRPr="00B759D0">
        <w:rPr>
          <w:rFonts w:cs="Times New Roman"/>
          <w:sz w:val="24"/>
        </w:rPr>
        <w:t xml:space="preserve"> designed to enhance lecturers’ commitment and capacity to engage with students writing development</w:t>
      </w:r>
      <w:r w:rsidRPr="00B759D0">
        <w:rPr>
          <w:rFonts w:cs="Times New Roman"/>
          <w:sz w:val="24"/>
        </w:rPr>
        <w:t xml:space="preserve"> (2) (</w:t>
      </w:r>
      <w:r w:rsidR="00A63A72" w:rsidRPr="00B759D0">
        <w:rPr>
          <w:rFonts w:cs="Times New Roman"/>
          <w:sz w:val="24"/>
        </w:rPr>
        <w:t>McGrath et al., 2019</w:t>
      </w:r>
      <w:r w:rsidRPr="00B759D0">
        <w:rPr>
          <w:rFonts w:cs="Times New Roman"/>
          <w:sz w:val="24"/>
        </w:rPr>
        <w:t>) and participated in a taught session on writing a PGCHE module assignment (3). This session enabled Sam to experience genre-based pedagogy as a student. The first meeting (4) was held shortly after to discuss the intervention for Sam’s students. Following the meeting, Sam drafted teaching materials (5). A second meeting was held to discuss the materials (6). Sam then revised the materials and emailed them to us for feedback. After Sam taught the session (7), a third meeting was arranged to discuss her experiences (8). She sent us a final reflection post assignment marking (9). This plan provided three opportunities for the three ‘experts’ in their respective fields to interact.</w:t>
      </w:r>
    </w:p>
    <w:p w14:paraId="664C3221" w14:textId="0B648E46" w:rsidR="006C08A2" w:rsidRPr="00B759D0" w:rsidRDefault="006C08A2" w:rsidP="00841A7D">
      <w:pPr>
        <w:autoSpaceDE w:val="0"/>
        <w:autoSpaceDN w:val="0"/>
        <w:adjustRightInd w:val="0"/>
        <w:spacing w:line="360" w:lineRule="auto"/>
        <w:jc w:val="left"/>
        <w:rPr>
          <w:rFonts w:cs="Times New Roman"/>
          <w:color w:val="000000" w:themeColor="text1"/>
          <w:sz w:val="24"/>
        </w:rPr>
      </w:pPr>
      <w:r w:rsidRPr="00B759D0">
        <w:rPr>
          <w:rFonts w:cs="Times New Roman"/>
          <w:sz w:val="24"/>
        </w:rPr>
        <w:t xml:space="preserve">This rich data set comprised: a questionnaire, responses to metacognitive scaffolding tasks; three transcribed meetings, transcribed post-meeting reflections of Authors 1 (LS) and 2 (AD), a post-marking reflection from Sam, and drafts of the tasks she designed. The data set were analysed in two ways: first, following inductive qualitative techniques (Saldaña, 2011), we began by familiarising ourselves with the data, reading several times independently and then sharing observations. The objective was to derive a rich account of Sam’s experience, from the initial questionnaire and metacognitive task to </w:t>
      </w:r>
      <w:r w:rsidRPr="00B759D0">
        <w:rPr>
          <w:rFonts w:cs="Times New Roman"/>
          <w:sz w:val="24"/>
        </w:rPr>
        <w:lastRenderedPageBreak/>
        <w:t xml:space="preserve">the meetings and final reflection, and to explore Sam’s practices and how they shifted over time. We then performed what Saldaña (2011, p. 108) describes as </w:t>
      </w:r>
      <w:r w:rsidRPr="00B759D0">
        <w:rPr>
          <w:rFonts w:cs="Times New Roman"/>
          <w:i/>
          <w:iCs/>
          <w:sz w:val="24"/>
        </w:rPr>
        <w:t>themeing</w:t>
      </w:r>
      <w:r w:rsidRPr="00B759D0">
        <w:rPr>
          <w:rFonts w:cs="Times New Roman"/>
          <w:sz w:val="24"/>
        </w:rPr>
        <w:t xml:space="preserve"> - descriptive interpretations of what the data says and what it means (manifest and latent meanings of data). </w:t>
      </w:r>
      <w:r w:rsidR="00EC0D6A" w:rsidRPr="00B759D0">
        <w:rPr>
          <w:rFonts w:cs="Times New Roman"/>
          <w:sz w:val="24"/>
        </w:rPr>
        <w:t>These interpretations were verified by extracting quotes from data relevant to our themes separately</w:t>
      </w:r>
      <w:r w:rsidR="00EC0D6A" w:rsidRPr="00B759D0">
        <w:rPr>
          <w:rFonts w:cs="Times New Roman"/>
          <w:color w:val="000000" w:themeColor="text1"/>
          <w:sz w:val="24"/>
        </w:rPr>
        <w:t xml:space="preserve">. </w:t>
      </w:r>
      <w:r w:rsidRPr="00B759D0">
        <w:rPr>
          <w:rFonts w:cs="Times New Roman"/>
          <w:color w:val="000000" w:themeColor="text1"/>
          <w:sz w:val="24"/>
        </w:rPr>
        <w:t>Focusing on the three transcribed meetings, we identified sequences of dialogic talk which merited a second round of close linguistic analysis, and used Alexander’s (2020, p.131) principles to identify dialogic talk (see Table 1):</w:t>
      </w:r>
    </w:p>
    <w:p w14:paraId="142C0783" w14:textId="77777777" w:rsidR="006C08A2" w:rsidRPr="00B759D0" w:rsidRDefault="006C08A2" w:rsidP="00841A7D">
      <w:pPr>
        <w:autoSpaceDE w:val="0"/>
        <w:autoSpaceDN w:val="0"/>
        <w:adjustRightInd w:val="0"/>
        <w:spacing w:line="360" w:lineRule="auto"/>
        <w:jc w:val="left"/>
        <w:rPr>
          <w:rFonts w:cs="Times New Roman"/>
          <w:color w:val="000000" w:themeColor="text1"/>
          <w:sz w:val="24"/>
        </w:rPr>
      </w:pPr>
      <w:r w:rsidRPr="00B759D0">
        <w:rPr>
          <w:rFonts w:cs="Times New Roman"/>
          <w:sz w:val="24"/>
        </w:rPr>
        <w:t xml:space="preserve">Table </w:t>
      </w:r>
      <w:r w:rsidRPr="00B759D0">
        <w:rPr>
          <w:rFonts w:cs="Times New Roman"/>
          <w:sz w:val="24"/>
        </w:rPr>
        <w:fldChar w:fldCharType="begin"/>
      </w:r>
      <w:r w:rsidRPr="00B759D0">
        <w:rPr>
          <w:rFonts w:cs="Times New Roman"/>
          <w:sz w:val="24"/>
        </w:rPr>
        <w:instrText xml:space="preserve"> SEQ Table \* ARABIC </w:instrText>
      </w:r>
      <w:r w:rsidRPr="00B759D0">
        <w:rPr>
          <w:rFonts w:cs="Times New Roman"/>
          <w:sz w:val="24"/>
        </w:rPr>
        <w:fldChar w:fldCharType="separate"/>
      </w:r>
      <w:r w:rsidRPr="00B759D0">
        <w:rPr>
          <w:rFonts w:cs="Times New Roman"/>
          <w:noProof/>
          <w:sz w:val="24"/>
        </w:rPr>
        <w:t>1</w:t>
      </w:r>
      <w:r w:rsidRPr="00B759D0">
        <w:rPr>
          <w:rFonts w:cs="Times New Roman"/>
          <w:sz w:val="24"/>
        </w:rPr>
        <w:fldChar w:fldCharType="end"/>
      </w:r>
      <w:r w:rsidRPr="00B759D0">
        <w:rPr>
          <w:rFonts w:cs="Times New Roman"/>
          <w:sz w:val="24"/>
        </w:rPr>
        <w:t>. Alexander’s principles to identify dialogic talk</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321"/>
        <w:gridCol w:w="7183"/>
      </w:tblGrid>
      <w:tr w:rsidR="006C08A2" w:rsidRPr="00B759D0" w14:paraId="2B2C98AC" w14:textId="77777777" w:rsidTr="0008261C">
        <w:tc>
          <w:tcPr>
            <w:tcW w:w="1384" w:type="dxa"/>
          </w:tcPr>
          <w:p w14:paraId="7828F92A" w14:textId="77777777" w:rsidR="006C08A2" w:rsidRPr="00B759D0" w:rsidRDefault="006C08A2" w:rsidP="00841A7D">
            <w:pPr>
              <w:autoSpaceDE w:val="0"/>
              <w:autoSpaceDN w:val="0"/>
              <w:adjustRightInd w:val="0"/>
              <w:spacing w:line="360" w:lineRule="auto"/>
              <w:jc w:val="left"/>
              <w:rPr>
                <w:rFonts w:cs="Times New Roman"/>
                <w:color w:val="000000" w:themeColor="text1"/>
                <w:sz w:val="24"/>
              </w:rPr>
            </w:pPr>
            <w:r w:rsidRPr="00B759D0">
              <w:rPr>
                <w:rFonts w:cs="Times New Roman"/>
                <w:sz w:val="24"/>
              </w:rPr>
              <w:t>Collective</w:t>
            </w:r>
          </w:p>
        </w:tc>
        <w:tc>
          <w:tcPr>
            <w:tcW w:w="7858" w:type="dxa"/>
          </w:tcPr>
          <w:p w14:paraId="56EBB286" w14:textId="77777777" w:rsidR="006C08A2" w:rsidRPr="00B759D0" w:rsidRDefault="006C08A2" w:rsidP="00841A7D">
            <w:pPr>
              <w:autoSpaceDE w:val="0"/>
              <w:autoSpaceDN w:val="0"/>
              <w:adjustRightInd w:val="0"/>
              <w:spacing w:line="360" w:lineRule="auto"/>
              <w:jc w:val="left"/>
              <w:rPr>
                <w:rFonts w:cs="Times New Roman"/>
                <w:color w:val="000000" w:themeColor="text1"/>
                <w:sz w:val="24"/>
              </w:rPr>
            </w:pPr>
            <w:r w:rsidRPr="00B759D0">
              <w:rPr>
                <w:rFonts w:cs="Times New Roman"/>
                <w:sz w:val="24"/>
              </w:rPr>
              <w:t>Participants are willing and able to address learning tasks together</w:t>
            </w:r>
          </w:p>
        </w:tc>
      </w:tr>
      <w:tr w:rsidR="006C08A2" w:rsidRPr="00B759D0" w14:paraId="7D6BBE9A" w14:textId="77777777" w:rsidTr="0008261C">
        <w:tc>
          <w:tcPr>
            <w:tcW w:w="1384" w:type="dxa"/>
          </w:tcPr>
          <w:p w14:paraId="68E9B7BA" w14:textId="77777777" w:rsidR="006C08A2" w:rsidRPr="00B759D0" w:rsidRDefault="006C08A2" w:rsidP="00841A7D">
            <w:pPr>
              <w:autoSpaceDE w:val="0"/>
              <w:autoSpaceDN w:val="0"/>
              <w:adjustRightInd w:val="0"/>
              <w:spacing w:line="360" w:lineRule="auto"/>
              <w:jc w:val="left"/>
              <w:rPr>
                <w:rFonts w:cs="Times New Roman"/>
                <w:color w:val="000000" w:themeColor="text1"/>
                <w:sz w:val="24"/>
              </w:rPr>
            </w:pPr>
            <w:r w:rsidRPr="00B759D0">
              <w:rPr>
                <w:rFonts w:cs="Times New Roman"/>
                <w:color w:val="000000" w:themeColor="text1"/>
                <w:sz w:val="24"/>
              </w:rPr>
              <w:t>Supportive</w:t>
            </w:r>
          </w:p>
        </w:tc>
        <w:tc>
          <w:tcPr>
            <w:tcW w:w="7858" w:type="dxa"/>
          </w:tcPr>
          <w:p w14:paraId="693A5214" w14:textId="77777777" w:rsidR="006C08A2" w:rsidRPr="00B759D0" w:rsidRDefault="006C08A2" w:rsidP="00841A7D">
            <w:pPr>
              <w:spacing w:line="360" w:lineRule="auto"/>
              <w:jc w:val="left"/>
              <w:rPr>
                <w:rFonts w:cs="Times New Roman"/>
                <w:sz w:val="24"/>
              </w:rPr>
            </w:pPr>
            <w:r w:rsidRPr="00B759D0">
              <w:rPr>
                <w:rFonts w:cs="Times New Roman"/>
                <w:sz w:val="24"/>
              </w:rPr>
              <w:t>Participants can express ideas freely without risk of embarrassment and help each other to reach common understandings</w:t>
            </w:r>
          </w:p>
        </w:tc>
      </w:tr>
      <w:tr w:rsidR="006C08A2" w:rsidRPr="00B759D0" w14:paraId="4E5F5D6A" w14:textId="77777777" w:rsidTr="0008261C">
        <w:tc>
          <w:tcPr>
            <w:tcW w:w="1384" w:type="dxa"/>
          </w:tcPr>
          <w:p w14:paraId="297C0505" w14:textId="77777777" w:rsidR="006C08A2" w:rsidRPr="00B759D0" w:rsidRDefault="006C08A2" w:rsidP="00841A7D">
            <w:pPr>
              <w:autoSpaceDE w:val="0"/>
              <w:autoSpaceDN w:val="0"/>
              <w:adjustRightInd w:val="0"/>
              <w:spacing w:line="360" w:lineRule="auto"/>
              <w:jc w:val="left"/>
              <w:rPr>
                <w:rFonts w:cs="Times New Roman"/>
                <w:color w:val="000000" w:themeColor="text1"/>
                <w:sz w:val="24"/>
              </w:rPr>
            </w:pPr>
            <w:r w:rsidRPr="00B759D0">
              <w:rPr>
                <w:rFonts w:cs="Times New Roman"/>
                <w:color w:val="000000" w:themeColor="text1"/>
                <w:sz w:val="24"/>
              </w:rPr>
              <w:t>Reciprocal</w:t>
            </w:r>
          </w:p>
        </w:tc>
        <w:tc>
          <w:tcPr>
            <w:tcW w:w="7858" w:type="dxa"/>
          </w:tcPr>
          <w:p w14:paraId="15D95A06" w14:textId="77777777" w:rsidR="006C08A2" w:rsidRPr="00B759D0" w:rsidRDefault="006C08A2" w:rsidP="00841A7D">
            <w:pPr>
              <w:autoSpaceDE w:val="0"/>
              <w:autoSpaceDN w:val="0"/>
              <w:adjustRightInd w:val="0"/>
              <w:spacing w:line="360" w:lineRule="auto"/>
              <w:jc w:val="left"/>
              <w:rPr>
                <w:rFonts w:cs="Times New Roman"/>
                <w:color w:val="000000" w:themeColor="text1"/>
                <w:sz w:val="24"/>
              </w:rPr>
            </w:pPr>
            <w:r w:rsidRPr="00B759D0">
              <w:rPr>
                <w:rFonts w:cs="Times New Roman"/>
                <w:sz w:val="24"/>
              </w:rPr>
              <w:t>Participants listen to each other, share ideas, ask questions, and consider alternative viewpoints</w:t>
            </w:r>
          </w:p>
        </w:tc>
      </w:tr>
      <w:tr w:rsidR="006C08A2" w:rsidRPr="00B759D0" w14:paraId="1A4335F1" w14:textId="77777777" w:rsidTr="0008261C">
        <w:tc>
          <w:tcPr>
            <w:tcW w:w="1384" w:type="dxa"/>
          </w:tcPr>
          <w:p w14:paraId="3B8F7F0E" w14:textId="77777777" w:rsidR="006C08A2" w:rsidRPr="00B759D0" w:rsidRDefault="006C08A2" w:rsidP="00841A7D">
            <w:pPr>
              <w:autoSpaceDE w:val="0"/>
              <w:autoSpaceDN w:val="0"/>
              <w:adjustRightInd w:val="0"/>
              <w:spacing w:line="360" w:lineRule="auto"/>
              <w:jc w:val="left"/>
              <w:rPr>
                <w:rFonts w:cs="Times New Roman"/>
                <w:color w:val="000000" w:themeColor="text1"/>
                <w:sz w:val="24"/>
              </w:rPr>
            </w:pPr>
            <w:r w:rsidRPr="00B759D0">
              <w:rPr>
                <w:rFonts w:cs="Times New Roman"/>
                <w:color w:val="000000" w:themeColor="text1"/>
                <w:sz w:val="24"/>
              </w:rPr>
              <w:t>Deliberative</w:t>
            </w:r>
          </w:p>
        </w:tc>
        <w:tc>
          <w:tcPr>
            <w:tcW w:w="7858" w:type="dxa"/>
          </w:tcPr>
          <w:p w14:paraId="0B0A03DF" w14:textId="77777777" w:rsidR="006C08A2" w:rsidRPr="00B759D0" w:rsidRDefault="006C08A2" w:rsidP="00841A7D">
            <w:pPr>
              <w:spacing w:line="360" w:lineRule="auto"/>
              <w:jc w:val="left"/>
              <w:rPr>
                <w:rFonts w:cs="Times New Roman"/>
                <w:sz w:val="24"/>
              </w:rPr>
            </w:pPr>
            <w:r w:rsidRPr="00B759D0">
              <w:rPr>
                <w:rFonts w:cs="Times New Roman"/>
                <w:sz w:val="24"/>
              </w:rPr>
              <w:t>Participants discuss and seek to resolve different points of view, present and evaluate arguments and work towards reasoned positions and outcomes</w:t>
            </w:r>
          </w:p>
        </w:tc>
      </w:tr>
      <w:tr w:rsidR="006C08A2" w:rsidRPr="00B759D0" w14:paraId="6117D042" w14:textId="77777777" w:rsidTr="0008261C">
        <w:tc>
          <w:tcPr>
            <w:tcW w:w="1384" w:type="dxa"/>
          </w:tcPr>
          <w:p w14:paraId="1F790D4F" w14:textId="77777777" w:rsidR="006C08A2" w:rsidRPr="00B759D0" w:rsidRDefault="006C08A2" w:rsidP="00841A7D">
            <w:pPr>
              <w:autoSpaceDE w:val="0"/>
              <w:autoSpaceDN w:val="0"/>
              <w:adjustRightInd w:val="0"/>
              <w:spacing w:line="360" w:lineRule="auto"/>
              <w:jc w:val="left"/>
              <w:rPr>
                <w:rFonts w:cs="Times New Roman"/>
                <w:color w:val="000000" w:themeColor="text1"/>
                <w:sz w:val="24"/>
              </w:rPr>
            </w:pPr>
            <w:r w:rsidRPr="00B759D0">
              <w:rPr>
                <w:rFonts w:cs="Times New Roman"/>
                <w:color w:val="000000" w:themeColor="text1"/>
                <w:sz w:val="24"/>
              </w:rPr>
              <w:t>Cumulative</w:t>
            </w:r>
          </w:p>
        </w:tc>
        <w:tc>
          <w:tcPr>
            <w:tcW w:w="7858" w:type="dxa"/>
          </w:tcPr>
          <w:p w14:paraId="0200505E" w14:textId="77777777" w:rsidR="006C08A2" w:rsidRPr="00B759D0" w:rsidRDefault="006C08A2" w:rsidP="00841A7D">
            <w:pPr>
              <w:spacing w:line="360" w:lineRule="auto"/>
              <w:jc w:val="left"/>
              <w:rPr>
                <w:rFonts w:cs="Times New Roman"/>
                <w:sz w:val="24"/>
              </w:rPr>
            </w:pPr>
            <w:r w:rsidRPr="00B759D0">
              <w:rPr>
                <w:rFonts w:cs="Times New Roman"/>
                <w:sz w:val="24"/>
              </w:rPr>
              <w:t>Participants build on their own and each other’s contributions and chain them into coherent lines of thinking and understanding</w:t>
            </w:r>
          </w:p>
        </w:tc>
      </w:tr>
      <w:tr w:rsidR="006C08A2" w:rsidRPr="00B759D0" w14:paraId="23B8CAAE" w14:textId="77777777" w:rsidTr="0008261C">
        <w:tc>
          <w:tcPr>
            <w:tcW w:w="1384" w:type="dxa"/>
          </w:tcPr>
          <w:p w14:paraId="699D50F6" w14:textId="77777777" w:rsidR="006C08A2" w:rsidRPr="00B759D0" w:rsidRDefault="006C08A2" w:rsidP="00841A7D">
            <w:pPr>
              <w:autoSpaceDE w:val="0"/>
              <w:autoSpaceDN w:val="0"/>
              <w:adjustRightInd w:val="0"/>
              <w:spacing w:line="360" w:lineRule="auto"/>
              <w:jc w:val="left"/>
              <w:rPr>
                <w:rFonts w:cs="Times New Roman"/>
                <w:color w:val="000000" w:themeColor="text1"/>
                <w:sz w:val="24"/>
              </w:rPr>
            </w:pPr>
            <w:r w:rsidRPr="00B759D0">
              <w:rPr>
                <w:rFonts w:cs="Times New Roman"/>
                <w:color w:val="000000" w:themeColor="text1"/>
                <w:sz w:val="24"/>
              </w:rPr>
              <w:t>Purposeful</w:t>
            </w:r>
          </w:p>
        </w:tc>
        <w:tc>
          <w:tcPr>
            <w:tcW w:w="7858" w:type="dxa"/>
          </w:tcPr>
          <w:p w14:paraId="5337EE2B" w14:textId="77777777" w:rsidR="006C08A2" w:rsidRPr="00B759D0" w:rsidRDefault="006C08A2" w:rsidP="00841A7D">
            <w:pPr>
              <w:spacing w:line="360" w:lineRule="auto"/>
              <w:jc w:val="left"/>
              <w:rPr>
                <w:rFonts w:cs="Times New Roman"/>
                <w:sz w:val="24"/>
              </w:rPr>
            </w:pPr>
            <w:r w:rsidRPr="00B759D0">
              <w:rPr>
                <w:rFonts w:cs="Times New Roman"/>
                <w:sz w:val="24"/>
              </w:rPr>
              <w:t xml:space="preserve">Talk is structured with a specific learning goal in view </w:t>
            </w:r>
          </w:p>
        </w:tc>
      </w:tr>
    </w:tbl>
    <w:p w14:paraId="7FC69922" w14:textId="77777777" w:rsidR="00C93D47" w:rsidRPr="00B759D0" w:rsidRDefault="00C93D47" w:rsidP="00841A7D">
      <w:pPr>
        <w:jc w:val="left"/>
      </w:pPr>
      <w:bookmarkStart w:id="0" w:name="_Hlk110936736"/>
    </w:p>
    <w:p w14:paraId="5E2A579E" w14:textId="6F03CC6E" w:rsidR="00C93D47" w:rsidRPr="00B759D0" w:rsidRDefault="00C93D47" w:rsidP="00841A7D">
      <w:pPr>
        <w:jc w:val="left"/>
      </w:pPr>
      <w:r w:rsidRPr="00B759D0">
        <w:rPr>
          <w:rFonts w:cs="Times New Roman"/>
          <w:sz w:val="24"/>
        </w:rPr>
        <w:t>Ethical approval for the study was granted by [name of university] (ER26729240).</w:t>
      </w:r>
      <w:bookmarkEnd w:id="0"/>
    </w:p>
    <w:p w14:paraId="79F1B8D0" w14:textId="7C07C10A" w:rsidR="006C08A2" w:rsidRPr="00B759D0" w:rsidRDefault="006C08A2" w:rsidP="00841A7D">
      <w:pPr>
        <w:pStyle w:val="Heading1"/>
        <w:jc w:val="left"/>
      </w:pPr>
      <w:r w:rsidRPr="00B759D0">
        <w:t>Findings</w:t>
      </w:r>
    </w:p>
    <w:p w14:paraId="2D687744" w14:textId="77777777" w:rsidR="006C08A2" w:rsidRPr="00B759D0" w:rsidRDefault="006C08A2" w:rsidP="00841A7D">
      <w:pPr>
        <w:spacing w:line="360" w:lineRule="auto"/>
        <w:jc w:val="left"/>
        <w:rPr>
          <w:rFonts w:cs="Times New Roman"/>
          <w:sz w:val="24"/>
        </w:rPr>
      </w:pPr>
      <w:r w:rsidRPr="00B759D0">
        <w:rPr>
          <w:rFonts w:cs="Times New Roman"/>
          <w:sz w:val="24"/>
        </w:rPr>
        <w:t xml:space="preserve">Through collaborative talk, our participant adopted a genre-oriented understanding of her students’ writing development in relation to the assignment for her module. </w:t>
      </w:r>
      <w:r w:rsidRPr="00B759D0">
        <w:rPr>
          <w:rFonts w:eastAsia="Times New Roman" w:cs="Times New Roman"/>
          <w:sz w:val="24"/>
        </w:rPr>
        <w:t xml:space="preserve">Below, numbers refer to stages in Figure 1. </w:t>
      </w:r>
    </w:p>
    <w:p w14:paraId="1BB42FAA" w14:textId="77777777" w:rsidR="006C08A2" w:rsidRPr="00B759D0" w:rsidRDefault="006C08A2" w:rsidP="00841A7D">
      <w:pPr>
        <w:spacing w:line="360" w:lineRule="auto"/>
        <w:jc w:val="left"/>
        <w:rPr>
          <w:rFonts w:cs="Times New Roman"/>
          <w:sz w:val="24"/>
        </w:rPr>
      </w:pPr>
      <w:r w:rsidRPr="00B759D0">
        <w:rPr>
          <w:rFonts w:cs="Times New Roman"/>
          <w:sz w:val="24"/>
        </w:rPr>
        <w:t>Sam’s response to the initial questionnaire evidenced an unnuanced view of writing. Despite the writing experience accrued from her industry background, she described both professional and academic writing in similar, generic and formal (Tardy, 2009) terms:</w:t>
      </w:r>
    </w:p>
    <w:p w14:paraId="6A955CEE" w14:textId="77777777" w:rsidR="006C08A2" w:rsidRPr="00B759D0" w:rsidRDefault="006C08A2" w:rsidP="00841A7D">
      <w:pPr>
        <w:shd w:val="clear" w:color="auto" w:fill="FFFFFF"/>
        <w:spacing w:line="360" w:lineRule="auto"/>
        <w:ind w:left="720"/>
        <w:jc w:val="left"/>
        <w:rPr>
          <w:rFonts w:eastAsia="Times New Roman" w:cs="Times New Roman"/>
          <w:color w:val="202124"/>
          <w:spacing w:val="3"/>
          <w:sz w:val="24"/>
          <w:lang w:eastAsia="en-GB"/>
        </w:rPr>
      </w:pPr>
      <w:r w:rsidRPr="00B759D0">
        <w:rPr>
          <w:rFonts w:eastAsia="Times New Roman" w:cs="Times New Roman"/>
          <w:color w:val="202124"/>
          <w:spacing w:val="3"/>
          <w:sz w:val="24"/>
          <w:lang w:eastAsia="en-GB"/>
        </w:rPr>
        <w:lastRenderedPageBreak/>
        <w:t>I have written proposals previously for TV programmes and use same approach - keep it simple and convey facts in an accessible way…</w:t>
      </w:r>
      <w:r w:rsidRPr="00B759D0">
        <w:rPr>
          <w:rFonts w:eastAsia="Times New Roman" w:cs="Times New Roman"/>
          <w:color w:val="202124"/>
          <w:spacing w:val="3"/>
          <w:sz w:val="24"/>
          <w:u w:val="single"/>
          <w:lang w:eastAsia="en-GB"/>
        </w:rPr>
        <w:t xml:space="preserve">good communication, clear, professional, no errors. </w:t>
      </w:r>
      <w:r w:rsidRPr="00B759D0">
        <w:rPr>
          <w:rFonts w:eastAsia="Times New Roman" w:cs="Times New Roman"/>
          <w:color w:val="202124"/>
          <w:spacing w:val="3"/>
          <w:sz w:val="24"/>
          <w:lang w:eastAsia="en-GB"/>
        </w:rPr>
        <w:t>(1)</w:t>
      </w:r>
    </w:p>
    <w:p w14:paraId="7F1AFDEF" w14:textId="77777777" w:rsidR="006C08A2" w:rsidRPr="00B759D0" w:rsidRDefault="006C08A2" w:rsidP="00841A7D">
      <w:pPr>
        <w:spacing w:line="360" w:lineRule="auto"/>
        <w:jc w:val="left"/>
        <w:rPr>
          <w:rFonts w:cs="Times New Roman"/>
          <w:sz w:val="24"/>
        </w:rPr>
      </w:pPr>
      <w:r w:rsidRPr="00B759D0">
        <w:rPr>
          <w:rFonts w:cs="Times New Roman"/>
          <w:sz w:val="24"/>
        </w:rPr>
        <w:t>Task 2 (mapping genre knowledge) elicited a more nuanced understanding of writing than the questionnaire (1), or at least seemed to equip Sam with some metalanguage. She began to describe writing from a more genre-oriented perspective, noticing, for example, that different texts place different demands on the author:</w:t>
      </w:r>
    </w:p>
    <w:p w14:paraId="498CB41B" w14:textId="77777777" w:rsidR="006C08A2" w:rsidRPr="00B759D0" w:rsidRDefault="006C08A2" w:rsidP="00841A7D">
      <w:pPr>
        <w:spacing w:line="360" w:lineRule="auto"/>
        <w:ind w:left="720"/>
        <w:jc w:val="left"/>
        <w:rPr>
          <w:rFonts w:eastAsia="Times New Roman" w:cs="Times New Roman"/>
          <w:color w:val="000000"/>
          <w:sz w:val="24"/>
          <w:lang w:eastAsia="en-GB"/>
        </w:rPr>
      </w:pPr>
      <w:r w:rsidRPr="00B759D0">
        <w:rPr>
          <w:rFonts w:eastAsia="Times New Roman" w:cs="Times New Roman"/>
          <w:color w:val="000000"/>
          <w:sz w:val="24"/>
          <w:lang w:eastAsia="en-GB"/>
        </w:rPr>
        <w:t xml:space="preserve">Today I learnt that students need to be </w:t>
      </w:r>
      <w:r w:rsidRPr="00B759D0">
        <w:rPr>
          <w:rFonts w:eastAsia="Times New Roman" w:cs="Times New Roman"/>
          <w:color w:val="000000"/>
          <w:sz w:val="24"/>
          <w:u w:val="single"/>
          <w:lang w:eastAsia="en-GB"/>
        </w:rPr>
        <w:t>adaptive writers to a wide range of genres</w:t>
      </w:r>
      <w:r w:rsidRPr="00B759D0">
        <w:rPr>
          <w:rFonts w:eastAsia="Times New Roman" w:cs="Times New Roman"/>
          <w:color w:val="000000"/>
          <w:sz w:val="24"/>
          <w:lang w:eastAsia="en-GB"/>
        </w:rPr>
        <w:t xml:space="preserve"> e.g., lab report, forum post, peer review, dissertation and that all of these require different approaches, </w:t>
      </w:r>
      <w:r w:rsidRPr="00B759D0">
        <w:rPr>
          <w:rFonts w:eastAsia="Times New Roman" w:cs="Times New Roman"/>
          <w:color w:val="000000"/>
          <w:sz w:val="24"/>
          <w:u w:val="single"/>
          <w:lang w:eastAsia="en-GB"/>
        </w:rPr>
        <w:t>different understanding of subject, process, formal knowledge and rhetorical knowledge</w:t>
      </w:r>
      <w:r w:rsidRPr="00B759D0">
        <w:rPr>
          <w:rFonts w:eastAsia="Times New Roman" w:cs="Times New Roman"/>
          <w:color w:val="000000"/>
          <w:sz w:val="24"/>
          <w:lang w:eastAsia="en-GB"/>
        </w:rPr>
        <w:t>.  (2)</w:t>
      </w:r>
    </w:p>
    <w:p w14:paraId="35E65A6F" w14:textId="77777777" w:rsidR="006C08A2" w:rsidRPr="00B759D0" w:rsidRDefault="006C08A2" w:rsidP="00841A7D">
      <w:pPr>
        <w:spacing w:line="360" w:lineRule="auto"/>
        <w:jc w:val="left"/>
        <w:rPr>
          <w:rFonts w:eastAsia="Times New Roman" w:cs="Times New Roman"/>
          <w:color w:val="000000"/>
          <w:sz w:val="24"/>
          <w:lang w:eastAsia="en-GB"/>
        </w:rPr>
      </w:pPr>
      <w:r w:rsidRPr="00B759D0">
        <w:rPr>
          <w:rFonts w:eastAsia="Times New Roman" w:cs="Times New Roman"/>
          <w:color w:val="000000"/>
          <w:sz w:val="24"/>
          <w:lang w:eastAsia="en-GB"/>
        </w:rPr>
        <w:t>In these tasks, Sam elaborated on how she had aimed to develop her students’ writing in the past: giving ideas, drafting a detailed module brief, providing exemplars, and referring students to study skills provision. Her description seemed to consider both formal and process aspects of genre knowledge:</w:t>
      </w:r>
    </w:p>
    <w:p w14:paraId="61281A01" w14:textId="77777777" w:rsidR="006C08A2" w:rsidRPr="00B759D0" w:rsidRDefault="006C08A2" w:rsidP="00841A7D">
      <w:pPr>
        <w:spacing w:line="360" w:lineRule="auto"/>
        <w:ind w:left="720"/>
        <w:jc w:val="left"/>
        <w:rPr>
          <w:rFonts w:eastAsia="Times New Roman" w:cs="Times New Roman"/>
          <w:color w:val="000000"/>
          <w:sz w:val="24"/>
          <w:lang w:eastAsia="en-GB"/>
        </w:rPr>
      </w:pPr>
      <w:r w:rsidRPr="00B759D0">
        <w:rPr>
          <w:rFonts w:eastAsia="Times New Roman" w:cs="Times New Roman"/>
          <w:color w:val="000000"/>
          <w:sz w:val="24"/>
          <w:lang w:eastAsia="en-GB"/>
        </w:rPr>
        <w:t xml:space="preserve">I give them </w:t>
      </w:r>
      <w:r w:rsidRPr="00B759D0">
        <w:rPr>
          <w:rFonts w:eastAsia="Times New Roman" w:cs="Times New Roman"/>
          <w:color w:val="000000"/>
          <w:sz w:val="24"/>
          <w:u w:val="single"/>
          <w:lang w:eastAsia="en-GB"/>
        </w:rPr>
        <w:t xml:space="preserve">ideas on where to look for research, </w:t>
      </w:r>
      <w:r w:rsidRPr="00B759D0">
        <w:rPr>
          <w:rFonts w:eastAsia="Times New Roman" w:cs="Times New Roman"/>
          <w:color w:val="000000"/>
          <w:sz w:val="24"/>
          <w:lang w:eastAsia="en-GB"/>
        </w:rPr>
        <w:t xml:space="preserve">how to </w:t>
      </w:r>
      <w:r w:rsidRPr="00B759D0">
        <w:rPr>
          <w:rFonts w:eastAsia="Times New Roman" w:cs="Times New Roman"/>
          <w:color w:val="000000"/>
          <w:sz w:val="24"/>
          <w:u w:val="single"/>
          <w:lang w:eastAsia="en-GB"/>
        </w:rPr>
        <w:t>carry out primary research</w:t>
      </w:r>
      <w:r w:rsidRPr="00B759D0">
        <w:rPr>
          <w:rFonts w:eastAsia="Times New Roman" w:cs="Times New Roman"/>
          <w:color w:val="000000"/>
          <w:sz w:val="24"/>
          <w:lang w:eastAsia="en-GB"/>
        </w:rPr>
        <w:t xml:space="preserve"> with contributors and </w:t>
      </w:r>
      <w:r w:rsidRPr="00B759D0">
        <w:rPr>
          <w:rFonts w:eastAsia="Times New Roman" w:cs="Times New Roman"/>
          <w:color w:val="000000"/>
          <w:sz w:val="24"/>
          <w:u w:val="single"/>
          <w:lang w:eastAsia="en-GB"/>
        </w:rPr>
        <w:t>how to extract quotes / the information</w:t>
      </w:r>
      <w:r w:rsidRPr="00B759D0">
        <w:rPr>
          <w:rFonts w:eastAsia="Times New Roman" w:cs="Times New Roman"/>
          <w:color w:val="000000"/>
          <w:sz w:val="24"/>
          <w:lang w:eastAsia="en-GB"/>
        </w:rPr>
        <w:t xml:space="preserve"> they need for their own personal development plan (2)</w:t>
      </w:r>
    </w:p>
    <w:p w14:paraId="5A7A95B8" w14:textId="77777777" w:rsidR="006C08A2" w:rsidRPr="00B759D0" w:rsidRDefault="006C08A2" w:rsidP="00841A7D">
      <w:pPr>
        <w:spacing w:line="360" w:lineRule="auto"/>
        <w:jc w:val="left"/>
        <w:rPr>
          <w:rFonts w:eastAsia="Times New Roman" w:cs="Times New Roman"/>
          <w:color w:val="FF0000"/>
          <w:sz w:val="24"/>
          <w:lang w:eastAsia="en-GB"/>
        </w:rPr>
      </w:pPr>
      <w:r w:rsidRPr="00B759D0">
        <w:rPr>
          <w:rFonts w:eastAsia="Times New Roman" w:cs="Times New Roman"/>
          <w:color w:val="000000"/>
          <w:sz w:val="24"/>
          <w:lang w:eastAsia="en-GB"/>
        </w:rPr>
        <w:t>At the same time, her approach was prescriptive and transmissive, with no reference to learning or task in her descriptions of teaching practice. Instead, her focus was written guidance:</w:t>
      </w:r>
    </w:p>
    <w:p w14:paraId="2BCE8943" w14:textId="77777777" w:rsidR="006C08A2" w:rsidRPr="00B759D0" w:rsidRDefault="006C08A2" w:rsidP="00841A7D">
      <w:pPr>
        <w:spacing w:line="360" w:lineRule="auto"/>
        <w:ind w:left="720"/>
        <w:jc w:val="left"/>
        <w:rPr>
          <w:rFonts w:eastAsia="Times New Roman" w:cs="Times New Roman"/>
          <w:color w:val="000000"/>
          <w:sz w:val="24"/>
          <w:lang w:eastAsia="en-GB"/>
        </w:rPr>
      </w:pPr>
      <w:r w:rsidRPr="00B759D0">
        <w:rPr>
          <w:rFonts w:eastAsia="Times New Roman" w:cs="Times New Roman"/>
          <w:color w:val="000000"/>
          <w:sz w:val="24"/>
          <w:lang w:eastAsia="en-GB"/>
        </w:rPr>
        <w:t xml:space="preserve">I have created a </w:t>
      </w:r>
      <w:r w:rsidRPr="00B759D0">
        <w:rPr>
          <w:rFonts w:eastAsia="Times New Roman" w:cs="Times New Roman"/>
          <w:color w:val="000000"/>
          <w:sz w:val="24"/>
          <w:u w:val="single"/>
          <w:lang w:eastAsia="en-GB"/>
        </w:rPr>
        <w:t>detailed module brief</w:t>
      </w:r>
      <w:r w:rsidRPr="00B759D0">
        <w:rPr>
          <w:rFonts w:eastAsia="Times New Roman" w:cs="Times New Roman"/>
          <w:color w:val="000000"/>
          <w:sz w:val="24"/>
          <w:lang w:eastAsia="en-GB"/>
        </w:rPr>
        <w:t xml:space="preserve"> which gives a </w:t>
      </w:r>
      <w:r w:rsidRPr="00B759D0">
        <w:rPr>
          <w:rFonts w:eastAsia="Times New Roman" w:cs="Times New Roman"/>
          <w:color w:val="000000"/>
          <w:sz w:val="24"/>
          <w:u w:val="single"/>
          <w:lang w:eastAsia="en-GB"/>
        </w:rPr>
        <w:t>list of subject headings</w:t>
      </w:r>
      <w:r w:rsidRPr="00B759D0">
        <w:rPr>
          <w:rFonts w:eastAsia="Times New Roman" w:cs="Times New Roman"/>
          <w:color w:val="000000"/>
          <w:sz w:val="24"/>
          <w:lang w:eastAsia="en-GB"/>
        </w:rPr>
        <w:t xml:space="preserve"> which many of them follow. (2)</w:t>
      </w:r>
    </w:p>
    <w:p w14:paraId="2D74ABE1" w14:textId="77777777" w:rsidR="006C08A2" w:rsidRPr="00B759D0" w:rsidRDefault="006C08A2" w:rsidP="00841A7D">
      <w:pPr>
        <w:shd w:val="clear" w:color="auto" w:fill="FFFFFF"/>
        <w:spacing w:line="360" w:lineRule="auto"/>
        <w:ind w:left="720"/>
        <w:jc w:val="left"/>
        <w:rPr>
          <w:rFonts w:eastAsia="Times New Roman" w:cs="Times New Roman"/>
          <w:color w:val="202124"/>
          <w:spacing w:val="3"/>
          <w:sz w:val="24"/>
          <w:lang w:eastAsia="en-GB"/>
        </w:rPr>
      </w:pPr>
      <w:r w:rsidRPr="00B759D0">
        <w:rPr>
          <w:rFonts w:eastAsia="Times New Roman" w:cs="Times New Roman"/>
          <w:color w:val="202124"/>
          <w:spacing w:val="3"/>
          <w:sz w:val="24"/>
          <w:lang w:eastAsia="en-GB"/>
        </w:rPr>
        <w:t xml:space="preserve">I try to help them structure their ideas with </w:t>
      </w:r>
      <w:r w:rsidRPr="00B759D0">
        <w:rPr>
          <w:rFonts w:eastAsia="Times New Roman" w:cs="Times New Roman"/>
          <w:color w:val="202124"/>
          <w:spacing w:val="3"/>
          <w:sz w:val="24"/>
          <w:u w:val="single"/>
          <w:lang w:eastAsia="en-GB"/>
        </w:rPr>
        <w:t>proforma documents</w:t>
      </w:r>
      <w:r w:rsidRPr="00B759D0">
        <w:rPr>
          <w:rFonts w:eastAsia="Times New Roman" w:cs="Times New Roman"/>
          <w:color w:val="202124"/>
          <w:spacing w:val="3"/>
          <w:sz w:val="24"/>
          <w:lang w:eastAsia="en-GB"/>
        </w:rPr>
        <w:t xml:space="preserve"> and </w:t>
      </w:r>
      <w:r w:rsidRPr="00B759D0">
        <w:rPr>
          <w:rFonts w:eastAsia="Times New Roman" w:cs="Times New Roman"/>
          <w:color w:val="202124"/>
          <w:spacing w:val="3"/>
          <w:sz w:val="24"/>
          <w:u w:val="single"/>
          <w:lang w:eastAsia="en-GB"/>
        </w:rPr>
        <w:t>written guidance</w:t>
      </w:r>
      <w:r w:rsidRPr="00B759D0">
        <w:rPr>
          <w:rFonts w:eastAsia="Times New Roman" w:cs="Times New Roman"/>
          <w:color w:val="202124"/>
          <w:spacing w:val="3"/>
          <w:sz w:val="24"/>
          <w:lang w:eastAsia="en-GB"/>
        </w:rPr>
        <w:t xml:space="preserve"> […], we talk about creating subject headings and what could go in each section. (2)</w:t>
      </w:r>
    </w:p>
    <w:p w14:paraId="6FF296B9" w14:textId="77777777" w:rsidR="006C08A2" w:rsidRPr="00B759D0" w:rsidRDefault="006C08A2" w:rsidP="00841A7D">
      <w:pPr>
        <w:shd w:val="clear" w:color="auto" w:fill="FFFFFF"/>
        <w:spacing w:line="360" w:lineRule="auto"/>
        <w:jc w:val="left"/>
        <w:rPr>
          <w:rFonts w:eastAsia="Times New Roman" w:cs="Times New Roman"/>
          <w:color w:val="202124"/>
          <w:spacing w:val="3"/>
          <w:sz w:val="24"/>
          <w:lang w:eastAsia="en-GB"/>
        </w:rPr>
      </w:pPr>
      <w:r w:rsidRPr="00B759D0">
        <w:rPr>
          <w:rFonts w:eastAsia="Times New Roman" w:cs="Times New Roman"/>
          <w:color w:val="202124"/>
          <w:spacing w:val="3"/>
          <w:sz w:val="24"/>
          <w:lang w:eastAsia="en-GB"/>
        </w:rPr>
        <w:t>Sam recognised her approach was counterproductive: prescriptive conventions delivered through guidance documents inhibited students’ creativity and discouraged an individual response to the assignment, despite the fact that innovation emerged as an important disciplinary value (rhetorical knowledge) and fundamental to the successful completion of the assignment:</w:t>
      </w:r>
    </w:p>
    <w:p w14:paraId="488D3C0E" w14:textId="77777777" w:rsidR="006C08A2" w:rsidRPr="00B759D0" w:rsidRDefault="006C08A2" w:rsidP="00841A7D">
      <w:pPr>
        <w:spacing w:line="360" w:lineRule="auto"/>
        <w:ind w:left="720"/>
        <w:jc w:val="left"/>
        <w:rPr>
          <w:rFonts w:eastAsia="Times New Roman" w:cs="Times New Roman"/>
          <w:color w:val="000000"/>
          <w:sz w:val="24"/>
          <w:lang w:eastAsia="en-GB"/>
        </w:rPr>
      </w:pPr>
      <w:r w:rsidRPr="00B759D0">
        <w:rPr>
          <w:rFonts w:eastAsia="Times New Roman" w:cs="Times New Roman"/>
          <w:color w:val="000000"/>
          <w:sz w:val="24"/>
          <w:lang w:eastAsia="en-GB"/>
        </w:rPr>
        <w:lastRenderedPageBreak/>
        <w:t xml:space="preserve">This [guidance] really </w:t>
      </w:r>
      <w:r w:rsidRPr="00B759D0">
        <w:rPr>
          <w:rFonts w:eastAsia="Times New Roman" w:cs="Times New Roman"/>
          <w:color w:val="000000"/>
          <w:sz w:val="24"/>
          <w:u w:val="single"/>
          <w:lang w:eastAsia="en-GB"/>
        </w:rPr>
        <w:t xml:space="preserve">helps them structure their ideas </w:t>
      </w:r>
      <w:r w:rsidRPr="00B759D0">
        <w:rPr>
          <w:rFonts w:eastAsia="Times New Roman" w:cs="Times New Roman"/>
          <w:color w:val="000000"/>
          <w:sz w:val="24"/>
          <w:lang w:eastAsia="en-GB"/>
        </w:rPr>
        <w:t xml:space="preserve">- however </w:t>
      </w:r>
      <w:r w:rsidRPr="00B759D0">
        <w:rPr>
          <w:rFonts w:eastAsia="Times New Roman" w:cs="Times New Roman"/>
          <w:color w:val="000000"/>
          <w:sz w:val="24"/>
          <w:u w:val="single"/>
          <w:lang w:eastAsia="en-GB"/>
        </w:rPr>
        <w:t>it does result in many of the development plans being very similar</w:t>
      </w:r>
      <w:r w:rsidRPr="00B759D0">
        <w:rPr>
          <w:rFonts w:eastAsia="Times New Roman" w:cs="Times New Roman"/>
          <w:color w:val="000000"/>
          <w:sz w:val="24"/>
          <w:lang w:eastAsia="en-GB"/>
        </w:rPr>
        <w:t xml:space="preserve"> and I wonder whether I am </w:t>
      </w:r>
      <w:r w:rsidRPr="00B759D0">
        <w:rPr>
          <w:rFonts w:eastAsia="Times New Roman" w:cs="Times New Roman"/>
          <w:color w:val="000000"/>
          <w:sz w:val="24"/>
          <w:u w:val="single"/>
          <w:lang w:eastAsia="en-GB"/>
        </w:rPr>
        <w:t>spoon feeding</w:t>
      </w:r>
      <w:r w:rsidRPr="00B759D0">
        <w:rPr>
          <w:rFonts w:eastAsia="Times New Roman" w:cs="Times New Roman"/>
          <w:color w:val="000000"/>
          <w:sz w:val="24"/>
          <w:lang w:eastAsia="en-GB"/>
        </w:rPr>
        <w:t xml:space="preserve"> too much. (2)</w:t>
      </w:r>
    </w:p>
    <w:p w14:paraId="6D45C0DF" w14:textId="77777777" w:rsidR="006C08A2" w:rsidRPr="00B759D0" w:rsidRDefault="006C08A2" w:rsidP="00841A7D">
      <w:pPr>
        <w:spacing w:line="360" w:lineRule="auto"/>
        <w:jc w:val="left"/>
        <w:rPr>
          <w:rFonts w:cs="Times New Roman"/>
          <w:sz w:val="24"/>
        </w:rPr>
      </w:pPr>
      <w:r w:rsidRPr="00B759D0">
        <w:rPr>
          <w:rFonts w:cs="Times New Roman"/>
          <w:sz w:val="24"/>
        </w:rPr>
        <w:t xml:space="preserve">Meeting 1 (stage 4) allowed us to dig deeper; Sam recounted how she provided students with examples of previous assignments, a strategy adopted after experiencing genre-informed pedagogy herself. However, </w:t>
      </w:r>
      <w:r w:rsidRPr="00B759D0">
        <w:rPr>
          <w:rFonts w:eastAsia="Times New Roman" w:cs="Times New Roman"/>
          <w:color w:val="000000"/>
          <w:sz w:val="24"/>
          <w:lang w:eastAsia="en-GB"/>
        </w:rPr>
        <w:t xml:space="preserve">she lacked expertise in how to exploit these exemplars through task design, which meant that her disciplinary values of exploration and creativity were again compromised. </w:t>
      </w:r>
      <w:r w:rsidRPr="00B759D0">
        <w:rPr>
          <w:rFonts w:cs="Times New Roman"/>
          <w:sz w:val="24"/>
        </w:rPr>
        <w:t xml:space="preserve">Thus, while Sam valued originality and creativity, her strategy for enabling students to demonstrate formal knowledge inhibited their ability to meet her expectation of a bespoke response. </w:t>
      </w:r>
    </w:p>
    <w:p w14:paraId="28051869" w14:textId="77777777" w:rsidR="006C08A2" w:rsidRPr="00B759D0" w:rsidRDefault="006C08A2" w:rsidP="00841A7D">
      <w:pPr>
        <w:spacing w:line="360" w:lineRule="auto"/>
        <w:ind w:left="720"/>
        <w:jc w:val="left"/>
        <w:rPr>
          <w:rFonts w:eastAsia="Times New Roman" w:cs="Times New Roman"/>
          <w:color w:val="000000"/>
          <w:sz w:val="24"/>
          <w:lang w:eastAsia="en-GB"/>
        </w:rPr>
      </w:pPr>
      <w:r w:rsidRPr="00B759D0">
        <w:rPr>
          <w:rFonts w:eastAsia="Times New Roman" w:cs="Times New Roman"/>
          <w:color w:val="000000"/>
          <w:sz w:val="24"/>
          <w:lang w:eastAsia="en-GB"/>
        </w:rPr>
        <w:t xml:space="preserve">[The exemplars] really help [students] understand what they're supposed to do, </w:t>
      </w:r>
      <w:r w:rsidRPr="00B759D0">
        <w:rPr>
          <w:rFonts w:eastAsia="Times New Roman" w:cs="Times New Roman"/>
          <w:color w:val="000000"/>
          <w:sz w:val="24"/>
          <w:u w:val="single"/>
          <w:lang w:eastAsia="en-GB"/>
        </w:rPr>
        <w:t>but again means there is less room for exploration and creativity</w:t>
      </w:r>
      <w:r w:rsidRPr="00B759D0">
        <w:rPr>
          <w:rFonts w:eastAsia="Times New Roman" w:cs="Times New Roman"/>
          <w:color w:val="000000"/>
          <w:sz w:val="24"/>
          <w:lang w:eastAsia="en-GB"/>
        </w:rPr>
        <w:t>. (4)</w:t>
      </w:r>
    </w:p>
    <w:p w14:paraId="66862F1C" w14:textId="77777777" w:rsidR="006C08A2" w:rsidRPr="00B759D0" w:rsidRDefault="006C08A2" w:rsidP="00841A7D">
      <w:pPr>
        <w:spacing w:line="360" w:lineRule="auto"/>
        <w:jc w:val="left"/>
        <w:rPr>
          <w:rFonts w:cs="Times New Roman"/>
          <w:sz w:val="24"/>
        </w:rPr>
      </w:pPr>
      <w:r w:rsidRPr="00B759D0">
        <w:rPr>
          <w:rFonts w:cs="Times New Roman"/>
          <w:sz w:val="24"/>
        </w:rPr>
        <w:t xml:space="preserve">Once Sam was prompted to engage in materials development (5,6), she began to consider specific learning objectives, task design, problem solving and how to elicit students’ responses. While some of her aims remained abstract—"make things clear, convey ideas” (6)—the process of drafting a task enabled her to provide more details about her genre expectations. For instance, she homed in on argumentation and the weaving of quotes into the text, synthesising primary and secondary research: </w:t>
      </w:r>
    </w:p>
    <w:p w14:paraId="44CA4380" w14:textId="77777777" w:rsidR="006C08A2" w:rsidRPr="00B759D0" w:rsidRDefault="006C08A2" w:rsidP="00841A7D">
      <w:pPr>
        <w:spacing w:line="360" w:lineRule="auto"/>
        <w:ind w:left="720"/>
        <w:jc w:val="left"/>
        <w:rPr>
          <w:rFonts w:cs="Times New Roman"/>
          <w:sz w:val="24"/>
        </w:rPr>
      </w:pPr>
      <w:r w:rsidRPr="00B759D0">
        <w:rPr>
          <w:rFonts w:cs="Times New Roman"/>
          <w:sz w:val="24"/>
        </w:rPr>
        <w:t xml:space="preserve">What I want them to understand is how to make things clear, how to be able to convey their ideas, </w:t>
      </w:r>
      <w:r w:rsidRPr="00B759D0">
        <w:rPr>
          <w:rFonts w:cs="Times New Roman"/>
          <w:sz w:val="24"/>
          <w:u w:val="single"/>
        </w:rPr>
        <w:t>how to use the interviews that they're going to be carrying ou</w:t>
      </w:r>
      <w:r w:rsidRPr="00B759D0">
        <w:rPr>
          <w:rFonts w:cs="Times New Roman"/>
          <w:sz w:val="24"/>
        </w:rPr>
        <w:t xml:space="preserve">t, how to </w:t>
      </w:r>
      <w:r w:rsidRPr="00B759D0">
        <w:rPr>
          <w:rFonts w:cs="Times New Roman"/>
          <w:sz w:val="24"/>
          <w:u w:val="single"/>
        </w:rPr>
        <w:t>weave in the quotes</w:t>
      </w:r>
      <w:r w:rsidRPr="00B759D0">
        <w:rPr>
          <w:rFonts w:cs="Times New Roman"/>
          <w:sz w:val="24"/>
        </w:rPr>
        <w:t xml:space="preserve"> and how to structure their ideas in a plan that’s useful for them. (6)</w:t>
      </w:r>
    </w:p>
    <w:p w14:paraId="1E8C68C8" w14:textId="77777777" w:rsidR="006C08A2" w:rsidRPr="00B759D0" w:rsidRDefault="006C08A2" w:rsidP="00841A7D">
      <w:pPr>
        <w:spacing w:line="360" w:lineRule="auto"/>
        <w:ind w:left="720"/>
        <w:jc w:val="left"/>
        <w:rPr>
          <w:rFonts w:cs="Times New Roman"/>
          <w:sz w:val="24"/>
        </w:rPr>
      </w:pPr>
      <w:r w:rsidRPr="00B759D0">
        <w:rPr>
          <w:rFonts w:cs="Times New Roman"/>
          <w:sz w:val="24"/>
        </w:rPr>
        <w:t xml:space="preserve">…what the second student does is </w:t>
      </w:r>
      <w:r w:rsidRPr="00B759D0">
        <w:rPr>
          <w:rFonts w:cs="Times New Roman"/>
          <w:sz w:val="24"/>
          <w:u w:val="single"/>
        </w:rPr>
        <w:t>she uses her primary interviews to kind of support about other findings</w:t>
      </w:r>
      <w:r w:rsidRPr="00B759D0">
        <w:rPr>
          <w:rFonts w:cs="Times New Roman"/>
          <w:sz w:val="24"/>
        </w:rPr>
        <w:t xml:space="preserve"> […] ‘oh this interviewee says this, and this is what I discovered in my secondary research. (6)</w:t>
      </w:r>
    </w:p>
    <w:p w14:paraId="0B9C8DFC" w14:textId="77777777" w:rsidR="006C08A2" w:rsidRPr="00B759D0" w:rsidRDefault="006C08A2" w:rsidP="00841A7D">
      <w:pPr>
        <w:spacing w:line="360" w:lineRule="auto"/>
        <w:jc w:val="left"/>
        <w:rPr>
          <w:rFonts w:cs="Times New Roman"/>
          <w:sz w:val="24"/>
        </w:rPr>
      </w:pPr>
      <w:r w:rsidRPr="00B759D0">
        <w:rPr>
          <w:rFonts w:cs="Times New Roman"/>
          <w:sz w:val="24"/>
        </w:rPr>
        <w:t>Figure 2 below is the draft task that Sam produced:</w:t>
      </w:r>
    </w:p>
    <w:tbl>
      <w:tblPr>
        <w:tblStyle w:val="TableGrid"/>
        <w:tblW w:w="0" w:type="auto"/>
        <w:tblLook w:val="04A0" w:firstRow="1" w:lastRow="0" w:firstColumn="1" w:lastColumn="0" w:noHBand="0" w:noVBand="1"/>
      </w:tblPr>
      <w:tblGrid>
        <w:gridCol w:w="8494"/>
      </w:tblGrid>
      <w:tr w:rsidR="006C08A2" w:rsidRPr="00B759D0" w14:paraId="3AA3C94B" w14:textId="77777777" w:rsidTr="0008261C">
        <w:tc>
          <w:tcPr>
            <w:tcW w:w="9242" w:type="dxa"/>
          </w:tcPr>
          <w:p w14:paraId="0FFFC169"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Look at the two sample assignments:</w:t>
            </w:r>
          </w:p>
          <w:p w14:paraId="61AB89D9"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Which [assignment] extract is simpler to read and why?</w:t>
            </w:r>
          </w:p>
          <w:p w14:paraId="0CD42639"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What is it about the structure that is helpful?  How is the work organized?</w:t>
            </w:r>
          </w:p>
          <w:p w14:paraId="41CB0AC2"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lastRenderedPageBreak/>
              <w:t>Do the extracts demonstrate a critical awareness of both the practical and creative skills needed?  Why is this important?</w:t>
            </w:r>
          </w:p>
          <w:p w14:paraId="25689B35"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How effective are the quotes in enabling you to understand the subject being explored?</w:t>
            </w:r>
          </w:p>
          <w:p w14:paraId="3916F4DB"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 xml:space="preserve">What secondary research is used? </w:t>
            </w:r>
          </w:p>
          <w:p w14:paraId="40BC3CAA"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How are the primary and secondary research used together to highlight the points explored?</w:t>
            </w:r>
          </w:p>
          <w:p w14:paraId="10702E10"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This is a ‘personal’ development plan. What makes it personal and why is a bespoke plan helpful for the student going forward with their career?</w:t>
            </w:r>
          </w:p>
        </w:tc>
      </w:tr>
    </w:tbl>
    <w:p w14:paraId="386E25E7" w14:textId="77777777" w:rsidR="006C08A2" w:rsidRPr="00B759D0" w:rsidRDefault="006C08A2" w:rsidP="00841A7D">
      <w:pPr>
        <w:spacing w:line="360" w:lineRule="auto"/>
        <w:jc w:val="left"/>
        <w:rPr>
          <w:rFonts w:cs="Times New Roman"/>
          <w:sz w:val="24"/>
        </w:rPr>
      </w:pPr>
      <w:r w:rsidRPr="00B759D0">
        <w:rPr>
          <w:rFonts w:cs="Times New Roman"/>
          <w:sz w:val="24"/>
        </w:rPr>
        <w:lastRenderedPageBreak/>
        <w:t>Figure 2: Draft 1 of Sam’s Task Design</w:t>
      </w:r>
    </w:p>
    <w:p w14:paraId="74B0D8B8" w14:textId="77777777" w:rsidR="006C08A2" w:rsidRPr="00B759D0" w:rsidRDefault="006C08A2" w:rsidP="00841A7D">
      <w:pPr>
        <w:spacing w:line="360" w:lineRule="auto"/>
        <w:jc w:val="left"/>
        <w:rPr>
          <w:rFonts w:cs="Times New Roman"/>
          <w:sz w:val="24"/>
        </w:rPr>
      </w:pPr>
      <w:r w:rsidRPr="00B759D0">
        <w:rPr>
          <w:rFonts w:cs="Times New Roman"/>
          <w:sz w:val="24"/>
        </w:rPr>
        <w:t>Sam wanted to build her task around a successful and a less successful example of a student assignment in order to raise awareness of her expectations of the genre. However, she struggled to nail down and articulate what made the successful assignment effective. She was nonetheless able to talk about the effects the text had on the reader in terms of content and the lack of references and organisation:</w:t>
      </w:r>
    </w:p>
    <w:p w14:paraId="3F7707D3" w14:textId="77777777" w:rsidR="006C08A2" w:rsidRPr="00B759D0" w:rsidRDefault="006C08A2" w:rsidP="00841A7D">
      <w:pPr>
        <w:spacing w:line="360" w:lineRule="auto"/>
        <w:ind w:left="720"/>
        <w:jc w:val="left"/>
        <w:rPr>
          <w:rFonts w:cs="Times New Roman"/>
          <w:sz w:val="24"/>
        </w:rPr>
      </w:pPr>
      <w:r w:rsidRPr="00B759D0">
        <w:rPr>
          <w:rFonts w:cs="Times New Roman"/>
          <w:sz w:val="24"/>
        </w:rPr>
        <w:t xml:space="preserve">…the [successful assignment] very much shows that the student has gone away and thought </w:t>
      </w:r>
      <w:r w:rsidRPr="00B759D0">
        <w:rPr>
          <w:rFonts w:cs="Times New Roman"/>
          <w:sz w:val="24"/>
          <w:u w:val="single"/>
        </w:rPr>
        <w:t>this is going to be useful for me</w:t>
      </w:r>
      <w:r w:rsidRPr="00B759D0">
        <w:rPr>
          <w:rFonts w:cs="Times New Roman"/>
          <w:sz w:val="24"/>
        </w:rPr>
        <w:t xml:space="preserve">, what are my influences film wise and where do I want to be and really, sort of, considered creativity and practical elements, practical and creative things that she would like to improve on in order to get to where she wants to be career wise.  </w:t>
      </w:r>
      <w:r w:rsidRPr="00B759D0">
        <w:rPr>
          <w:rFonts w:cs="Times New Roman"/>
          <w:sz w:val="24"/>
          <w:u w:val="single"/>
        </w:rPr>
        <w:t>I find that quite hard to read and that student hasn’t referenced anything,</w:t>
      </w:r>
      <w:r w:rsidRPr="00B759D0">
        <w:rPr>
          <w:rFonts w:cs="Times New Roman"/>
          <w:sz w:val="24"/>
        </w:rPr>
        <w:t xml:space="preserve"> so there’s obviously some reading that’s gone on, </w:t>
      </w:r>
      <w:r w:rsidRPr="00B759D0">
        <w:rPr>
          <w:rFonts w:cs="Times New Roman"/>
          <w:sz w:val="24"/>
          <w:u w:val="single"/>
        </w:rPr>
        <w:t>but the ideas feel a little bit blurred, and it needs to be structured a bit better</w:t>
      </w:r>
      <w:r w:rsidRPr="00B759D0">
        <w:rPr>
          <w:rFonts w:cs="Times New Roman"/>
          <w:sz w:val="24"/>
        </w:rPr>
        <w:t xml:space="preserve"> […] for </w:t>
      </w:r>
      <w:r w:rsidRPr="00B759D0">
        <w:rPr>
          <w:rFonts w:cs="Times New Roman"/>
          <w:sz w:val="24"/>
          <w:u w:val="single"/>
        </w:rPr>
        <w:t>primary and secondary research to understand how to interweave</w:t>
      </w:r>
      <w:r w:rsidRPr="00B759D0">
        <w:rPr>
          <w:rFonts w:cs="Times New Roman"/>
          <w:sz w:val="24"/>
        </w:rPr>
        <w:t xml:space="preserve"> those is hard… (6)</w:t>
      </w:r>
    </w:p>
    <w:p w14:paraId="54740297" w14:textId="1160D1C5" w:rsidR="006C08A2" w:rsidRPr="00B759D0" w:rsidRDefault="006C08A2" w:rsidP="00841A7D">
      <w:pPr>
        <w:spacing w:line="360" w:lineRule="auto"/>
        <w:jc w:val="left"/>
        <w:rPr>
          <w:rFonts w:cs="Times New Roman"/>
          <w:sz w:val="24"/>
        </w:rPr>
      </w:pPr>
      <w:r w:rsidRPr="00B759D0">
        <w:rPr>
          <w:rFonts w:cs="Times New Roman"/>
          <w:sz w:val="24"/>
        </w:rPr>
        <w:t xml:space="preserve">Sam’s task comprised questions probing facets of genre knowledge that Sam had raised in our discussion, and included ‘why’ prompts, presumably to connect formal and rhetorical knowledge. However, due to the wording, and by not isolating specific examples of features in the text, ‘successful writing’ remained an abstraction. Further, the students were not asked to apply their insights to their own writing context (e.g., Devitt, 2015; </w:t>
      </w:r>
      <w:r w:rsidR="00FA3EFE" w:rsidRPr="00B759D0">
        <w:rPr>
          <w:rFonts w:cs="Times New Roman"/>
          <w:sz w:val="24"/>
        </w:rPr>
        <w:t>McGrath et al., 2019</w:t>
      </w:r>
      <w:r w:rsidRPr="00B759D0">
        <w:rPr>
          <w:rFonts w:cs="Times New Roman"/>
          <w:sz w:val="24"/>
        </w:rPr>
        <w:t xml:space="preserve">). </w:t>
      </w:r>
    </w:p>
    <w:p w14:paraId="01944C00" w14:textId="44C03D72" w:rsidR="006C08A2" w:rsidRPr="00B759D0" w:rsidRDefault="006C08A2" w:rsidP="00841A7D">
      <w:pPr>
        <w:spacing w:line="360" w:lineRule="auto"/>
        <w:jc w:val="left"/>
        <w:rPr>
          <w:rFonts w:cs="Times New Roman"/>
          <w:sz w:val="24"/>
        </w:rPr>
      </w:pPr>
      <w:r w:rsidRPr="00B759D0">
        <w:rPr>
          <w:rFonts w:cs="Times New Roman"/>
          <w:sz w:val="24"/>
        </w:rPr>
        <w:lastRenderedPageBreak/>
        <w:t xml:space="preserve">Through collaborative work in </w:t>
      </w:r>
      <w:r w:rsidR="00972584" w:rsidRPr="00B759D0">
        <w:rPr>
          <w:rFonts w:cs="Times New Roman"/>
          <w:sz w:val="24"/>
        </w:rPr>
        <w:t>the second meeting</w:t>
      </w:r>
      <w:r w:rsidR="00471185" w:rsidRPr="00B759D0">
        <w:rPr>
          <w:rFonts w:cs="Times New Roman"/>
          <w:sz w:val="24"/>
        </w:rPr>
        <w:t xml:space="preserve"> to address the points above</w:t>
      </w:r>
      <w:r w:rsidRPr="00B759D0">
        <w:rPr>
          <w:rFonts w:cs="Times New Roman"/>
          <w:sz w:val="24"/>
        </w:rPr>
        <w:t>, the following writing intervention was designed: first, to underscore the value of originality and creativity in the assignment, Sam showed a short clip of unusual marriage proposals and elicited what they all had in common, showing that as long as a text achieves its purpose, authors can perform genres in different ways (rhetorical knowledge development). Second, students were assigned genre analysis tasks (Figure 3) to train more formal aspects of genre knowledge, tied to rhetorical knowledge. Students read the grading criteria to help establish audience expectations and authorial purpose (rhetorical and process knowledge), read the two assignments and graded them according to the criteria, answered questions aimed at eliciting how the writers were able to achieve their purpose (rhetorical knowledge), and highlighted the relevant sections in the text (formal knowledge). Finally, students noted five take aways from the session that they could apply in their own writing of the assignment.</w:t>
      </w:r>
    </w:p>
    <w:tbl>
      <w:tblPr>
        <w:tblStyle w:val="TableGrid"/>
        <w:tblW w:w="0" w:type="auto"/>
        <w:tblLook w:val="04A0" w:firstRow="1" w:lastRow="0" w:firstColumn="1" w:lastColumn="0" w:noHBand="0" w:noVBand="1"/>
      </w:tblPr>
      <w:tblGrid>
        <w:gridCol w:w="8494"/>
      </w:tblGrid>
      <w:tr w:rsidR="006C08A2" w:rsidRPr="00B759D0" w14:paraId="64AD6DCC" w14:textId="77777777" w:rsidTr="0008261C">
        <w:tc>
          <w:tcPr>
            <w:tcW w:w="9242" w:type="dxa"/>
          </w:tcPr>
          <w:p w14:paraId="31345A1E"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Look at these extracts from students’ assignments:</w:t>
            </w:r>
          </w:p>
          <w:p w14:paraId="4071FAA1"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 xml:space="preserve">If you were marking these extracts, what grade would you give and why?  </w:t>
            </w:r>
          </w:p>
          <w:p w14:paraId="6FA8CDA3" w14:textId="77777777" w:rsidR="006C08A2" w:rsidRPr="00B759D0" w:rsidRDefault="006C08A2" w:rsidP="00841A7D">
            <w:pPr>
              <w:pStyle w:val="Default"/>
              <w:spacing w:before="0" w:line="360" w:lineRule="auto"/>
              <w:rPr>
                <w:rFonts w:ascii="Times New Roman" w:eastAsiaTheme="minorHAnsi" w:hAnsi="Times New Roman" w:cs="Times New Roman"/>
                <w:i/>
                <w:iCs/>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 xml:space="preserve">Do the extracts demonstrate a ‘critical awareness’ of both the practical and creative skills needed?  Why is this important?  </w:t>
            </w:r>
            <w:r w:rsidRPr="00B759D0">
              <w:rPr>
                <w:rFonts w:ascii="Times New Roman" w:eastAsiaTheme="minorHAnsi" w:hAnsi="Times New Roman" w:cs="Times New Roman"/>
                <w:i/>
                <w:iCs/>
                <w:color w:val="auto"/>
                <w:bdr w:val="none" w:sz="0" w:space="0" w:color="auto"/>
                <w:lang w:val="en-GB" w:eastAsia="en-US"/>
              </w:rPr>
              <w:t>Highlight the sections where you feel this is successfully achieved.</w:t>
            </w:r>
          </w:p>
          <w:p w14:paraId="39E5D1F6"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How clearly are the aims laid out?</w:t>
            </w:r>
          </w:p>
          <w:p w14:paraId="40B4AC00"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How effective are the quotes in enabling you to understand the subject being explored?</w:t>
            </w:r>
          </w:p>
          <w:p w14:paraId="6E374979" w14:textId="77777777" w:rsidR="006C08A2" w:rsidRPr="00B759D0" w:rsidRDefault="006C08A2" w:rsidP="00841A7D">
            <w:pPr>
              <w:pStyle w:val="Default"/>
              <w:spacing w:before="0" w:line="360" w:lineRule="auto"/>
              <w:rPr>
                <w:rFonts w:ascii="Times New Roman" w:eastAsiaTheme="minorHAnsi" w:hAnsi="Times New Roman" w:cs="Times New Roman"/>
                <w:color w:val="auto"/>
                <w:bdr w:val="none" w:sz="0" w:space="0" w:color="auto"/>
                <w:lang w:val="en-GB" w:eastAsia="en-US"/>
              </w:rPr>
            </w:pPr>
            <w:r w:rsidRPr="00B759D0">
              <w:rPr>
                <w:rFonts w:ascii="Times New Roman" w:eastAsiaTheme="minorHAnsi" w:hAnsi="Times New Roman" w:cs="Times New Roman"/>
                <w:color w:val="auto"/>
                <w:bdr w:val="none" w:sz="0" w:space="0" w:color="auto"/>
                <w:lang w:val="en-GB" w:eastAsia="en-US"/>
              </w:rPr>
              <w:t xml:space="preserve">Do the students effectively ‘synthesize’ primary and secondary research to highlight the points explored?  </w:t>
            </w:r>
          </w:p>
          <w:p w14:paraId="5A0AA01D" w14:textId="77777777" w:rsidR="006C08A2" w:rsidRPr="00B759D0" w:rsidRDefault="006C08A2" w:rsidP="00841A7D">
            <w:pPr>
              <w:pStyle w:val="Default"/>
              <w:spacing w:before="0" w:line="360" w:lineRule="auto"/>
              <w:rPr>
                <w:rFonts w:ascii="Times New Roman" w:hAnsi="Times New Roman" w:cs="Times New Roman"/>
              </w:rPr>
            </w:pPr>
            <w:r w:rsidRPr="00B759D0">
              <w:rPr>
                <w:rFonts w:ascii="Times New Roman" w:eastAsiaTheme="minorHAnsi" w:hAnsi="Times New Roman" w:cs="Times New Roman"/>
                <w:color w:val="auto"/>
                <w:bdr w:val="none" w:sz="0" w:space="0" w:color="auto"/>
                <w:lang w:val="en-GB" w:eastAsia="en-US"/>
              </w:rPr>
              <w:t>Write down the 5 key take-aways that you will carry forward from reading these extracts.</w:t>
            </w:r>
          </w:p>
        </w:tc>
      </w:tr>
    </w:tbl>
    <w:p w14:paraId="6C5A0F36" w14:textId="77777777" w:rsidR="006C08A2" w:rsidRPr="00B759D0" w:rsidRDefault="006C08A2" w:rsidP="00841A7D">
      <w:pPr>
        <w:spacing w:line="360" w:lineRule="auto"/>
        <w:jc w:val="left"/>
        <w:rPr>
          <w:rFonts w:cs="Times New Roman"/>
          <w:sz w:val="24"/>
        </w:rPr>
      </w:pPr>
      <w:r w:rsidRPr="00B759D0">
        <w:rPr>
          <w:rFonts w:cs="Times New Roman"/>
          <w:sz w:val="24"/>
        </w:rPr>
        <w:t>Figure 3: Revised task</w:t>
      </w:r>
    </w:p>
    <w:p w14:paraId="56067E3B" w14:textId="77777777" w:rsidR="006C08A2" w:rsidRPr="00B759D0" w:rsidRDefault="006C08A2" w:rsidP="00841A7D">
      <w:pPr>
        <w:spacing w:line="360" w:lineRule="auto"/>
        <w:jc w:val="left"/>
        <w:rPr>
          <w:rFonts w:cs="Times New Roman"/>
          <w:sz w:val="24"/>
        </w:rPr>
      </w:pPr>
      <w:r w:rsidRPr="00B759D0">
        <w:rPr>
          <w:rFonts w:cs="Times New Roman"/>
          <w:sz w:val="24"/>
        </w:rPr>
        <w:t>The task clearly addresses some of the deficiencies of the previous draft. For example, in the revision, students are encouraged to isolate examples of effective writing in the text, justify their reasoning and apply their insights to their own contexts.</w:t>
      </w:r>
    </w:p>
    <w:p w14:paraId="522581C3" w14:textId="77777777" w:rsidR="006C08A2" w:rsidRPr="00B759D0" w:rsidRDefault="006C08A2" w:rsidP="00841A7D">
      <w:pPr>
        <w:spacing w:line="360" w:lineRule="auto"/>
        <w:jc w:val="left"/>
        <w:rPr>
          <w:rFonts w:cs="Times New Roman"/>
          <w:sz w:val="24"/>
        </w:rPr>
      </w:pPr>
      <w:r w:rsidRPr="00B759D0">
        <w:rPr>
          <w:rFonts w:cs="Times New Roman"/>
          <w:sz w:val="24"/>
        </w:rPr>
        <w:lastRenderedPageBreak/>
        <w:t>Post-teaching, Sam’s reflections (8) summarised the key take-aways from her professional development experience. First, she seemed to have a greater sense of the need to root discussions of genre expectations in examples:</w:t>
      </w:r>
    </w:p>
    <w:p w14:paraId="03EFF800" w14:textId="77777777" w:rsidR="006C08A2" w:rsidRPr="00B759D0" w:rsidRDefault="006C08A2" w:rsidP="00841A7D">
      <w:pPr>
        <w:spacing w:line="360" w:lineRule="auto"/>
        <w:ind w:left="720"/>
        <w:jc w:val="left"/>
        <w:rPr>
          <w:rFonts w:cs="Times New Roman"/>
          <w:sz w:val="24"/>
        </w:rPr>
      </w:pPr>
      <w:r w:rsidRPr="00B759D0">
        <w:rPr>
          <w:rFonts w:cs="Times New Roman"/>
          <w:sz w:val="24"/>
          <w:u w:val="single"/>
        </w:rPr>
        <w:t>Even though I’ve been telling them what’s required</w:t>
      </w:r>
      <w:r w:rsidRPr="00B759D0">
        <w:rPr>
          <w:rFonts w:cs="Times New Roman"/>
          <w:sz w:val="24"/>
        </w:rPr>
        <w:t xml:space="preserve"> and going through different headings and sections, I think </w:t>
      </w:r>
      <w:r w:rsidRPr="00B759D0">
        <w:rPr>
          <w:rFonts w:cs="Times New Roman"/>
          <w:sz w:val="24"/>
          <w:u w:val="single"/>
        </w:rPr>
        <w:t xml:space="preserve">actually seeing some past work has really kind of crystalised what they need to do </w:t>
      </w:r>
      <w:r w:rsidRPr="00B759D0">
        <w:rPr>
          <w:rFonts w:cs="Times New Roman"/>
          <w:sz w:val="24"/>
        </w:rPr>
        <w:t>in their minds. (8)</w:t>
      </w:r>
    </w:p>
    <w:p w14:paraId="2809C988" w14:textId="77777777" w:rsidR="006C08A2" w:rsidRPr="00B759D0" w:rsidRDefault="006C08A2" w:rsidP="00841A7D">
      <w:pPr>
        <w:spacing w:line="360" w:lineRule="auto"/>
        <w:jc w:val="left"/>
        <w:rPr>
          <w:rFonts w:cs="Times New Roman"/>
          <w:sz w:val="24"/>
        </w:rPr>
      </w:pPr>
      <w:r w:rsidRPr="00B759D0">
        <w:rPr>
          <w:rFonts w:cs="Times New Roman"/>
          <w:sz w:val="24"/>
        </w:rPr>
        <w:t>While she persisted in talking about writing in general terms (“professional”, “clear”), she foregrounded rhetorical aspects of texts, such as the role of the author and audience in determining textual features:</w:t>
      </w:r>
    </w:p>
    <w:p w14:paraId="1A851C5B" w14:textId="77777777" w:rsidR="006C08A2" w:rsidRPr="00B759D0" w:rsidRDefault="006C08A2" w:rsidP="00841A7D">
      <w:pPr>
        <w:spacing w:line="360" w:lineRule="auto"/>
        <w:ind w:left="720"/>
        <w:jc w:val="left"/>
        <w:rPr>
          <w:rFonts w:cs="Times New Roman"/>
          <w:sz w:val="24"/>
        </w:rPr>
      </w:pPr>
      <w:r w:rsidRPr="00B759D0">
        <w:rPr>
          <w:rFonts w:cs="Times New Roman"/>
          <w:sz w:val="24"/>
        </w:rPr>
        <w:t xml:space="preserve">I did ask them to </w:t>
      </w:r>
      <w:r w:rsidRPr="00B759D0">
        <w:rPr>
          <w:rFonts w:cs="Times New Roman"/>
          <w:sz w:val="24"/>
          <w:u w:val="single"/>
        </w:rPr>
        <w:t>think about them as an author</w:t>
      </w:r>
      <w:r w:rsidRPr="00B759D0">
        <w:rPr>
          <w:rFonts w:cs="Times New Roman"/>
          <w:sz w:val="24"/>
        </w:rPr>
        <w:t xml:space="preserve"> and the fact that this is their journey, and it needs to be relevant.  I did </w:t>
      </w:r>
      <w:r w:rsidRPr="00B759D0">
        <w:rPr>
          <w:rFonts w:cs="Times New Roman"/>
          <w:sz w:val="24"/>
          <w:u w:val="single"/>
        </w:rPr>
        <w:t>think about the audience, which is me,</w:t>
      </w:r>
      <w:r w:rsidRPr="00B759D0">
        <w:rPr>
          <w:rFonts w:cs="Times New Roman"/>
          <w:sz w:val="24"/>
        </w:rPr>
        <w:t xml:space="preserve"> and being able to present and convey information in a </w:t>
      </w:r>
      <w:r w:rsidRPr="00B759D0">
        <w:rPr>
          <w:rFonts w:cs="Times New Roman"/>
          <w:sz w:val="24"/>
          <w:u w:val="single"/>
        </w:rPr>
        <w:t>sort of professional and clear way</w:t>
      </w:r>
      <w:r w:rsidRPr="00B759D0">
        <w:rPr>
          <w:rFonts w:cs="Times New Roman"/>
          <w:sz w:val="24"/>
        </w:rPr>
        <w:t>. (8)</w:t>
      </w:r>
    </w:p>
    <w:p w14:paraId="7F9DA081" w14:textId="77777777" w:rsidR="006C08A2" w:rsidRPr="00B759D0" w:rsidRDefault="006C08A2" w:rsidP="00841A7D">
      <w:pPr>
        <w:spacing w:line="360" w:lineRule="auto"/>
        <w:jc w:val="left"/>
        <w:rPr>
          <w:rFonts w:cs="Times New Roman"/>
          <w:sz w:val="24"/>
        </w:rPr>
      </w:pPr>
      <w:r w:rsidRPr="00B759D0">
        <w:rPr>
          <w:rFonts w:cs="Times New Roman"/>
          <w:sz w:val="24"/>
        </w:rPr>
        <w:t>She was also able to describe the moves of argumentation that students were expected to employ:</w:t>
      </w:r>
    </w:p>
    <w:p w14:paraId="5D235FB6" w14:textId="77777777" w:rsidR="006C08A2" w:rsidRPr="00B759D0" w:rsidRDefault="006C08A2" w:rsidP="00841A7D">
      <w:pPr>
        <w:spacing w:line="360" w:lineRule="auto"/>
        <w:ind w:left="720"/>
        <w:jc w:val="left"/>
        <w:rPr>
          <w:rFonts w:cs="Times New Roman"/>
          <w:sz w:val="24"/>
        </w:rPr>
      </w:pPr>
      <w:r w:rsidRPr="00B759D0">
        <w:rPr>
          <w:rFonts w:cs="Times New Roman"/>
          <w:sz w:val="24"/>
        </w:rPr>
        <w:t xml:space="preserve">When they are making a point and then they go on to analyse that point. </w:t>
      </w:r>
      <w:r w:rsidRPr="00B759D0">
        <w:rPr>
          <w:rFonts w:cs="Times New Roman"/>
          <w:sz w:val="24"/>
          <w:u w:val="single"/>
        </w:rPr>
        <w:t>So, if they are using a quote, they’re then exploring it further and putting their own thoughts afterwards and connecting that quote to the relevant point that they’re makin</w:t>
      </w:r>
      <w:r w:rsidRPr="00B759D0">
        <w:rPr>
          <w:rFonts w:cs="Times New Roman"/>
          <w:sz w:val="24"/>
        </w:rPr>
        <w:t>g. (8)</w:t>
      </w:r>
    </w:p>
    <w:p w14:paraId="311BA3DB" w14:textId="77777777" w:rsidR="006C08A2" w:rsidRPr="00B759D0" w:rsidRDefault="006C08A2" w:rsidP="00841A7D">
      <w:pPr>
        <w:spacing w:line="360" w:lineRule="auto"/>
        <w:jc w:val="left"/>
        <w:rPr>
          <w:rFonts w:cs="Times New Roman"/>
          <w:sz w:val="24"/>
        </w:rPr>
      </w:pPr>
      <w:r w:rsidRPr="00B759D0">
        <w:rPr>
          <w:rFonts w:cs="Times New Roman"/>
          <w:sz w:val="24"/>
        </w:rPr>
        <w:t>Finally, in her post-marking reflection (9), she expressed her willingness to apply her learning from the collaboration and development of the task to other modules she teaches.</w:t>
      </w:r>
    </w:p>
    <w:p w14:paraId="0C69E121" w14:textId="77777777" w:rsidR="006C08A2" w:rsidRPr="00B759D0" w:rsidRDefault="006C08A2" w:rsidP="00841A7D">
      <w:pPr>
        <w:spacing w:line="360" w:lineRule="auto"/>
        <w:ind w:left="720"/>
        <w:jc w:val="left"/>
        <w:rPr>
          <w:rFonts w:cs="Times New Roman"/>
          <w:sz w:val="24"/>
        </w:rPr>
      </w:pPr>
      <w:r w:rsidRPr="00B759D0">
        <w:rPr>
          <w:rFonts w:cs="Times New Roman"/>
          <w:sz w:val="24"/>
        </w:rPr>
        <w:t>I felt really positive</w:t>
      </w:r>
      <w:r w:rsidRPr="00B759D0">
        <w:rPr>
          <w:rFonts w:cs="Times New Roman"/>
          <w:sz w:val="24"/>
          <w:u w:val="single"/>
        </w:rPr>
        <w:t>. It felt like I had real purpose</w:t>
      </w:r>
      <w:r w:rsidRPr="00B759D0">
        <w:rPr>
          <w:rFonts w:cs="Times New Roman"/>
          <w:sz w:val="24"/>
        </w:rPr>
        <w:t xml:space="preserve"> in showing the extract and going through the task […] </w:t>
      </w:r>
      <w:r w:rsidRPr="00B759D0">
        <w:rPr>
          <w:rFonts w:cs="Times New Roman"/>
          <w:sz w:val="24"/>
          <w:u w:val="single"/>
        </w:rPr>
        <w:t>I’d sort of managed to overcome a bit of a challenge</w:t>
      </w:r>
      <w:r w:rsidRPr="00B759D0">
        <w:rPr>
          <w:rFonts w:cs="Times New Roman"/>
          <w:sz w:val="24"/>
        </w:rPr>
        <w:t xml:space="preserve"> […] I think this has been incredibly useful for me and </w:t>
      </w:r>
      <w:r w:rsidRPr="00B759D0">
        <w:rPr>
          <w:rFonts w:cs="Times New Roman"/>
          <w:sz w:val="24"/>
          <w:u w:val="single"/>
        </w:rPr>
        <w:t>I will be using it across other modules</w:t>
      </w:r>
      <w:r w:rsidRPr="00B759D0">
        <w:rPr>
          <w:rFonts w:cs="Times New Roman"/>
          <w:sz w:val="24"/>
        </w:rPr>
        <w:t xml:space="preserve"> in the future. (9)</w:t>
      </w:r>
    </w:p>
    <w:p w14:paraId="54EE56ED" w14:textId="77777777" w:rsidR="006C08A2" w:rsidRPr="00B759D0" w:rsidRDefault="006C08A2" w:rsidP="00841A7D">
      <w:pPr>
        <w:spacing w:line="360" w:lineRule="auto"/>
        <w:jc w:val="left"/>
        <w:rPr>
          <w:rFonts w:cs="Times New Roman"/>
          <w:sz w:val="24"/>
        </w:rPr>
      </w:pPr>
      <w:r w:rsidRPr="00B759D0">
        <w:rPr>
          <w:rFonts w:cs="Times New Roman"/>
          <w:sz w:val="24"/>
        </w:rPr>
        <w:t xml:space="preserve">Having described the impact of the collaborative process on Sam’s understanding and teaching, we now turn to how the triadic, dialogic nature of talk during the three meetings supported the process. </w:t>
      </w:r>
      <w:r w:rsidRPr="00B759D0">
        <w:rPr>
          <w:rFonts w:cs="Times New Roman"/>
          <w:color w:val="000000" w:themeColor="text1"/>
          <w:sz w:val="24"/>
        </w:rPr>
        <w:t>Firstly, a cooperative culture was established through supportive and collective talk; participants were able to express ideas freely and help each other to reach common understandings. This was established explicitly at the beginning of the first meeting:</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
        <w:gridCol w:w="497"/>
        <w:gridCol w:w="7593"/>
      </w:tblGrid>
      <w:tr w:rsidR="006C08A2" w:rsidRPr="00B759D0" w14:paraId="162F042D" w14:textId="77777777" w:rsidTr="0008261C">
        <w:tc>
          <w:tcPr>
            <w:tcW w:w="421" w:type="dxa"/>
            <w:hideMark/>
          </w:tcPr>
          <w:p w14:paraId="568994D1" w14:textId="77777777" w:rsidR="006C08A2" w:rsidRPr="00B759D0" w:rsidRDefault="006C08A2" w:rsidP="00841A7D">
            <w:pPr>
              <w:spacing w:line="360" w:lineRule="auto"/>
              <w:jc w:val="left"/>
              <w:rPr>
                <w:rFonts w:cs="Times New Roman"/>
                <w:sz w:val="24"/>
              </w:rPr>
            </w:pPr>
            <w:r w:rsidRPr="00B759D0">
              <w:rPr>
                <w:rFonts w:cs="Times New Roman"/>
                <w:sz w:val="24"/>
              </w:rPr>
              <w:lastRenderedPageBreak/>
              <w:t>1</w:t>
            </w:r>
          </w:p>
        </w:tc>
        <w:tc>
          <w:tcPr>
            <w:tcW w:w="428" w:type="dxa"/>
            <w:hideMark/>
          </w:tcPr>
          <w:p w14:paraId="771F0424"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8167" w:type="dxa"/>
            <w:hideMark/>
          </w:tcPr>
          <w:p w14:paraId="7BEEE0B2" w14:textId="77777777" w:rsidR="006C08A2" w:rsidRPr="00B759D0" w:rsidRDefault="006C08A2" w:rsidP="00841A7D">
            <w:pPr>
              <w:spacing w:line="360" w:lineRule="auto"/>
              <w:jc w:val="left"/>
              <w:rPr>
                <w:rFonts w:cs="Times New Roman"/>
                <w:sz w:val="24"/>
              </w:rPr>
            </w:pPr>
            <w:r w:rsidRPr="00B759D0">
              <w:rPr>
                <w:rFonts w:cs="Times New Roman"/>
                <w:sz w:val="24"/>
              </w:rPr>
              <w:t>So, this first meeting, we want it to be a very relaxed, collaborative meeting where we just start to plan together a bit of teaching that you're going to do on the module, so it’s a discussion, a collaboration, OK?  (4)</w:t>
            </w:r>
          </w:p>
        </w:tc>
      </w:tr>
    </w:tbl>
    <w:p w14:paraId="24C00166" w14:textId="77777777" w:rsidR="006C08A2" w:rsidRPr="00B759D0" w:rsidRDefault="006C08A2" w:rsidP="00841A7D">
      <w:pPr>
        <w:spacing w:line="360" w:lineRule="auto"/>
        <w:jc w:val="left"/>
        <w:rPr>
          <w:rFonts w:cs="Times New Roman"/>
          <w:sz w:val="24"/>
          <w:u w:val="single"/>
        </w:rPr>
      </w:pPr>
      <w:r w:rsidRPr="00B759D0">
        <w:rPr>
          <w:rFonts w:cs="Times New Roman"/>
          <w:sz w:val="24"/>
        </w:rPr>
        <w:t>Rapport was built through jokes and laughter and shared experiences, for example: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
        <w:gridCol w:w="643"/>
        <w:gridCol w:w="7405"/>
      </w:tblGrid>
      <w:tr w:rsidR="006C08A2" w:rsidRPr="00B759D0" w14:paraId="498F4CB2" w14:textId="77777777" w:rsidTr="0008261C">
        <w:tc>
          <w:tcPr>
            <w:tcW w:w="440" w:type="dxa"/>
            <w:hideMark/>
          </w:tcPr>
          <w:p w14:paraId="750271BB" w14:textId="77777777" w:rsidR="006C08A2" w:rsidRPr="00B759D0" w:rsidRDefault="006C08A2" w:rsidP="00841A7D">
            <w:pPr>
              <w:spacing w:line="360" w:lineRule="auto"/>
              <w:jc w:val="left"/>
              <w:rPr>
                <w:rFonts w:cs="Times New Roman"/>
                <w:sz w:val="24"/>
              </w:rPr>
            </w:pPr>
            <w:r w:rsidRPr="00B759D0">
              <w:rPr>
                <w:rFonts w:cs="Times New Roman"/>
                <w:sz w:val="24"/>
              </w:rPr>
              <w:t>1</w:t>
            </w:r>
          </w:p>
        </w:tc>
        <w:tc>
          <w:tcPr>
            <w:tcW w:w="599" w:type="dxa"/>
            <w:hideMark/>
          </w:tcPr>
          <w:p w14:paraId="79D1FE4D"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7987" w:type="dxa"/>
            <w:hideMark/>
          </w:tcPr>
          <w:p w14:paraId="0815DB6B" w14:textId="77777777" w:rsidR="006C08A2" w:rsidRPr="00B759D0" w:rsidRDefault="006C08A2" w:rsidP="00841A7D">
            <w:pPr>
              <w:spacing w:line="360" w:lineRule="auto"/>
              <w:jc w:val="left"/>
              <w:rPr>
                <w:rFonts w:cs="Times New Roman"/>
                <w:sz w:val="24"/>
              </w:rPr>
            </w:pPr>
            <w:r w:rsidRPr="00B759D0">
              <w:rPr>
                <w:rFonts w:cs="Times New Roman"/>
                <w:sz w:val="24"/>
              </w:rPr>
              <w:t>You can take my shopping list jokes, if you remember those</w:t>
            </w:r>
          </w:p>
        </w:tc>
      </w:tr>
      <w:tr w:rsidR="006C08A2" w:rsidRPr="00B759D0" w14:paraId="3C90C600" w14:textId="77777777" w:rsidTr="0008261C">
        <w:tc>
          <w:tcPr>
            <w:tcW w:w="440" w:type="dxa"/>
            <w:hideMark/>
          </w:tcPr>
          <w:p w14:paraId="197E24AE" w14:textId="77777777" w:rsidR="006C08A2" w:rsidRPr="00B759D0" w:rsidRDefault="006C08A2" w:rsidP="00841A7D">
            <w:pPr>
              <w:spacing w:line="360" w:lineRule="auto"/>
              <w:jc w:val="left"/>
              <w:rPr>
                <w:rFonts w:cs="Times New Roman"/>
                <w:sz w:val="24"/>
              </w:rPr>
            </w:pPr>
            <w:r w:rsidRPr="00B759D0">
              <w:rPr>
                <w:rFonts w:cs="Times New Roman"/>
                <w:sz w:val="24"/>
              </w:rPr>
              <w:t>2</w:t>
            </w:r>
          </w:p>
        </w:tc>
        <w:tc>
          <w:tcPr>
            <w:tcW w:w="599" w:type="dxa"/>
            <w:hideMark/>
          </w:tcPr>
          <w:p w14:paraId="1751DCCA" w14:textId="77777777" w:rsidR="006C08A2" w:rsidRPr="00B759D0" w:rsidRDefault="006C08A2" w:rsidP="00841A7D">
            <w:pPr>
              <w:spacing w:line="360" w:lineRule="auto"/>
              <w:jc w:val="left"/>
              <w:rPr>
                <w:rFonts w:cs="Times New Roman"/>
                <w:sz w:val="24"/>
              </w:rPr>
            </w:pPr>
            <w:r w:rsidRPr="00B759D0">
              <w:rPr>
                <w:rFonts w:cs="Times New Roman"/>
                <w:sz w:val="24"/>
              </w:rPr>
              <w:t>Sam</w:t>
            </w:r>
          </w:p>
        </w:tc>
        <w:tc>
          <w:tcPr>
            <w:tcW w:w="7987" w:type="dxa"/>
            <w:hideMark/>
          </w:tcPr>
          <w:p w14:paraId="3A8FDFFD" w14:textId="77777777" w:rsidR="006C08A2" w:rsidRPr="00B759D0" w:rsidRDefault="006C08A2" w:rsidP="00841A7D">
            <w:pPr>
              <w:spacing w:line="360" w:lineRule="auto"/>
              <w:jc w:val="left"/>
              <w:rPr>
                <w:rFonts w:cs="Times New Roman"/>
                <w:sz w:val="24"/>
              </w:rPr>
            </w:pPr>
            <w:r w:rsidRPr="00B759D0">
              <w:rPr>
                <w:rFonts w:cs="Times New Roman"/>
                <w:sz w:val="24"/>
              </w:rPr>
              <w:t>Brilliant, yeah I do (laughs)</w:t>
            </w:r>
          </w:p>
        </w:tc>
      </w:tr>
      <w:tr w:rsidR="006C08A2" w:rsidRPr="00B759D0" w14:paraId="483567C2" w14:textId="77777777" w:rsidTr="0008261C">
        <w:tc>
          <w:tcPr>
            <w:tcW w:w="440" w:type="dxa"/>
            <w:hideMark/>
          </w:tcPr>
          <w:p w14:paraId="1908C6B8" w14:textId="77777777" w:rsidR="006C08A2" w:rsidRPr="00B759D0" w:rsidRDefault="006C08A2" w:rsidP="00841A7D">
            <w:pPr>
              <w:spacing w:line="360" w:lineRule="auto"/>
              <w:jc w:val="left"/>
              <w:rPr>
                <w:rFonts w:cs="Times New Roman"/>
                <w:sz w:val="24"/>
              </w:rPr>
            </w:pPr>
            <w:r w:rsidRPr="00B759D0">
              <w:rPr>
                <w:rFonts w:cs="Times New Roman"/>
                <w:sz w:val="24"/>
              </w:rPr>
              <w:t>3</w:t>
            </w:r>
          </w:p>
        </w:tc>
        <w:tc>
          <w:tcPr>
            <w:tcW w:w="599" w:type="dxa"/>
            <w:hideMark/>
          </w:tcPr>
          <w:p w14:paraId="00BC36B9"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7987" w:type="dxa"/>
            <w:hideMark/>
          </w:tcPr>
          <w:p w14:paraId="4F8BFB52" w14:textId="77777777" w:rsidR="006C08A2" w:rsidRPr="00B759D0" w:rsidRDefault="006C08A2" w:rsidP="00841A7D">
            <w:pPr>
              <w:spacing w:line="360" w:lineRule="auto"/>
              <w:jc w:val="left"/>
              <w:rPr>
                <w:rFonts w:cs="Times New Roman"/>
                <w:sz w:val="24"/>
              </w:rPr>
            </w:pPr>
            <w:r w:rsidRPr="00B759D0">
              <w:rPr>
                <w:rFonts w:cs="Times New Roman"/>
                <w:sz w:val="24"/>
              </w:rPr>
              <w:t>It’s very embarrassing because I do it every year so [AD] hears the same jokes (laughs)</w:t>
            </w:r>
          </w:p>
        </w:tc>
      </w:tr>
      <w:tr w:rsidR="006C08A2" w:rsidRPr="00B759D0" w14:paraId="209C1B21" w14:textId="77777777" w:rsidTr="0008261C">
        <w:tc>
          <w:tcPr>
            <w:tcW w:w="440" w:type="dxa"/>
            <w:hideMark/>
          </w:tcPr>
          <w:p w14:paraId="43DA6328" w14:textId="77777777" w:rsidR="006C08A2" w:rsidRPr="00B759D0" w:rsidRDefault="006C08A2" w:rsidP="00841A7D">
            <w:pPr>
              <w:spacing w:line="360" w:lineRule="auto"/>
              <w:jc w:val="left"/>
              <w:rPr>
                <w:rFonts w:cs="Times New Roman"/>
                <w:sz w:val="24"/>
              </w:rPr>
            </w:pPr>
            <w:r w:rsidRPr="00B759D0">
              <w:rPr>
                <w:rFonts w:cs="Times New Roman"/>
                <w:sz w:val="24"/>
              </w:rPr>
              <w:t>4</w:t>
            </w:r>
          </w:p>
          <w:p w14:paraId="2C1ABBAA" w14:textId="77777777" w:rsidR="006C08A2" w:rsidRPr="00B759D0" w:rsidRDefault="006C08A2" w:rsidP="00841A7D">
            <w:pPr>
              <w:spacing w:line="360" w:lineRule="auto"/>
              <w:jc w:val="left"/>
              <w:rPr>
                <w:rFonts w:cs="Times New Roman"/>
                <w:sz w:val="24"/>
              </w:rPr>
            </w:pPr>
            <w:r w:rsidRPr="00B759D0">
              <w:rPr>
                <w:rFonts w:cs="Times New Roman"/>
                <w:sz w:val="24"/>
              </w:rPr>
              <w:t>5</w:t>
            </w:r>
          </w:p>
        </w:tc>
        <w:tc>
          <w:tcPr>
            <w:tcW w:w="599" w:type="dxa"/>
            <w:hideMark/>
          </w:tcPr>
          <w:p w14:paraId="189E4333" w14:textId="77777777" w:rsidR="006C08A2" w:rsidRPr="00B759D0" w:rsidRDefault="006C08A2" w:rsidP="00841A7D">
            <w:pPr>
              <w:spacing w:line="360" w:lineRule="auto"/>
              <w:jc w:val="left"/>
              <w:rPr>
                <w:rFonts w:cs="Times New Roman"/>
                <w:sz w:val="24"/>
              </w:rPr>
            </w:pPr>
            <w:r w:rsidRPr="00B759D0">
              <w:rPr>
                <w:rFonts w:cs="Times New Roman"/>
                <w:sz w:val="24"/>
              </w:rPr>
              <w:t>Sam</w:t>
            </w:r>
          </w:p>
        </w:tc>
        <w:tc>
          <w:tcPr>
            <w:tcW w:w="7987" w:type="dxa"/>
            <w:hideMark/>
          </w:tcPr>
          <w:p w14:paraId="0A84B839" w14:textId="77777777" w:rsidR="006C08A2" w:rsidRPr="00B759D0" w:rsidRDefault="006C08A2" w:rsidP="00841A7D">
            <w:pPr>
              <w:spacing w:line="360" w:lineRule="auto"/>
              <w:jc w:val="left"/>
              <w:rPr>
                <w:rFonts w:cs="Times New Roman"/>
                <w:sz w:val="24"/>
              </w:rPr>
            </w:pPr>
            <w:r w:rsidRPr="00B759D0">
              <w:rPr>
                <w:rFonts w:cs="Times New Roman"/>
                <w:sz w:val="24"/>
              </w:rPr>
              <w:t>It’s funny when you do that isn't it because you know when we do open day, we've got these points where you're doing the same joke like three times in a day</w:t>
            </w:r>
          </w:p>
        </w:tc>
      </w:tr>
      <w:tr w:rsidR="006C08A2" w:rsidRPr="00B759D0" w14:paraId="0786DA6D" w14:textId="77777777" w:rsidTr="0008261C">
        <w:tc>
          <w:tcPr>
            <w:tcW w:w="440" w:type="dxa"/>
            <w:hideMark/>
          </w:tcPr>
          <w:p w14:paraId="1FC99236" w14:textId="77777777" w:rsidR="006C08A2" w:rsidRPr="00B759D0" w:rsidRDefault="006C08A2" w:rsidP="00841A7D">
            <w:pPr>
              <w:spacing w:line="360" w:lineRule="auto"/>
              <w:jc w:val="left"/>
              <w:rPr>
                <w:rFonts w:cs="Times New Roman"/>
                <w:sz w:val="24"/>
              </w:rPr>
            </w:pPr>
            <w:r w:rsidRPr="00B759D0">
              <w:rPr>
                <w:rFonts w:cs="Times New Roman"/>
                <w:sz w:val="24"/>
              </w:rPr>
              <w:t>6</w:t>
            </w:r>
          </w:p>
        </w:tc>
        <w:tc>
          <w:tcPr>
            <w:tcW w:w="599" w:type="dxa"/>
            <w:hideMark/>
          </w:tcPr>
          <w:p w14:paraId="12FAF790"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7987" w:type="dxa"/>
            <w:hideMark/>
          </w:tcPr>
          <w:p w14:paraId="40F80FE7" w14:textId="77777777" w:rsidR="006C08A2" w:rsidRPr="00B759D0" w:rsidRDefault="006C08A2" w:rsidP="00841A7D">
            <w:pPr>
              <w:spacing w:line="360" w:lineRule="auto"/>
              <w:jc w:val="left"/>
              <w:rPr>
                <w:rFonts w:cs="Times New Roman"/>
                <w:sz w:val="24"/>
              </w:rPr>
            </w:pPr>
            <w:r w:rsidRPr="00B759D0">
              <w:rPr>
                <w:rFonts w:cs="Times New Roman"/>
                <w:sz w:val="24"/>
              </w:rPr>
              <w:t>(laughs)</w:t>
            </w:r>
          </w:p>
        </w:tc>
      </w:tr>
      <w:tr w:rsidR="006C08A2" w:rsidRPr="00B759D0" w14:paraId="1470C901" w14:textId="77777777" w:rsidTr="0008261C">
        <w:tc>
          <w:tcPr>
            <w:tcW w:w="440" w:type="dxa"/>
            <w:hideMark/>
          </w:tcPr>
          <w:p w14:paraId="5B764257" w14:textId="77777777" w:rsidR="006C08A2" w:rsidRPr="00B759D0" w:rsidRDefault="006C08A2" w:rsidP="00841A7D">
            <w:pPr>
              <w:spacing w:line="360" w:lineRule="auto"/>
              <w:jc w:val="left"/>
              <w:rPr>
                <w:rFonts w:cs="Times New Roman"/>
                <w:sz w:val="24"/>
              </w:rPr>
            </w:pPr>
            <w:r w:rsidRPr="00B759D0">
              <w:rPr>
                <w:rFonts w:cs="Times New Roman"/>
                <w:sz w:val="24"/>
              </w:rPr>
              <w:t>7</w:t>
            </w:r>
          </w:p>
          <w:p w14:paraId="62DBED07" w14:textId="77777777" w:rsidR="006C08A2" w:rsidRPr="00B759D0" w:rsidRDefault="006C08A2" w:rsidP="00841A7D">
            <w:pPr>
              <w:spacing w:line="360" w:lineRule="auto"/>
              <w:jc w:val="left"/>
              <w:rPr>
                <w:rFonts w:cs="Times New Roman"/>
                <w:sz w:val="24"/>
              </w:rPr>
            </w:pPr>
            <w:r w:rsidRPr="00B759D0">
              <w:rPr>
                <w:rFonts w:cs="Times New Roman"/>
                <w:sz w:val="24"/>
              </w:rPr>
              <w:t>8</w:t>
            </w:r>
          </w:p>
        </w:tc>
        <w:tc>
          <w:tcPr>
            <w:tcW w:w="599" w:type="dxa"/>
            <w:hideMark/>
          </w:tcPr>
          <w:p w14:paraId="2A211530" w14:textId="77777777" w:rsidR="006C08A2" w:rsidRPr="00B759D0" w:rsidRDefault="006C08A2" w:rsidP="00841A7D">
            <w:pPr>
              <w:spacing w:line="360" w:lineRule="auto"/>
              <w:jc w:val="left"/>
              <w:rPr>
                <w:rFonts w:cs="Times New Roman"/>
                <w:sz w:val="24"/>
              </w:rPr>
            </w:pPr>
            <w:r w:rsidRPr="00B759D0">
              <w:rPr>
                <w:rFonts w:cs="Times New Roman"/>
                <w:sz w:val="24"/>
              </w:rPr>
              <w:t>Sam</w:t>
            </w:r>
          </w:p>
        </w:tc>
        <w:tc>
          <w:tcPr>
            <w:tcW w:w="7987" w:type="dxa"/>
            <w:hideMark/>
          </w:tcPr>
          <w:p w14:paraId="52369EA4" w14:textId="77777777" w:rsidR="006C08A2" w:rsidRPr="00B759D0" w:rsidRDefault="006C08A2" w:rsidP="00841A7D">
            <w:pPr>
              <w:spacing w:line="360" w:lineRule="auto"/>
              <w:jc w:val="left"/>
              <w:rPr>
                <w:rFonts w:cs="Times New Roman"/>
                <w:sz w:val="24"/>
              </w:rPr>
            </w:pPr>
            <w:r w:rsidRPr="00B759D0">
              <w:rPr>
                <w:rFonts w:cs="Times New Roman"/>
                <w:sz w:val="24"/>
              </w:rPr>
              <w:t>You know when the other person’s going to be telling this joke that’s no longer spontaneous</w:t>
            </w:r>
          </w:p>
        </w:tc>
      </w:tr>
      <w:tr w:rsidR="006C08A2" w:rsidRPr="00B759D0" w14:paraId="470C05C3" w14:textId="77777777" w:rsidTr="0008261C">
        <w:tc>
          <w:tcPr>
            <w:tcW w:w="440" w:type="dxa"/>
            <w:hideMark/>
          </w:tcPr>
          <w:p w14:paraId="45DBF385" w14:textId="77777777" w:rsidR="006C08A2" w:rsidRPr="00B759D0" w:rsidRDefault="006C08A2" w:rsidP="00841A7D">
            <w:pPr>
              <w:spacing w:line="360" w:lineRule="auto"/>
              <w:jc w:val="left"/>
              <w:rPr>
                <w:rFonts w:cs="Times New Roman"/>
                <w:sz w:val="24"/>
              </w:rPr>
            </w:pPr>
            <w:r w:rsidRPr="00B759D0">
              <w:rPr>
                <w:rFonts w:cs="Times New Roman"/>
                <w:sz w:val="24"/>
              </w:rPr>
              <w:t>9</w:t>
            </w:r>
          </w:p>
        </w:tc>
        <w:tc>
          <w:tcPr>
            <w:tcW w:w="599" w:type="dxa"/>
            <w:hideMark/>
          </w:tcPr>
          <w:p w14:paraId="221A0C16"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7987" w:type="dxa"/>
            <w:hideMark/>
          </w:tcPr>
          <w:p w14:paraId="5C4E6881" w14:textId="77777777" w:rsidR="006C08A2" w:rsidRPr="00B759D0" w:rsidRDefault="006C08A2" w:rsidP="00841A7D">
            <w:pPr>
              <w:spacing w:line="360" w:lineRule="auto"/>
              <w:jc w:val="left"/>
              <w:rPr>
                <w:rFonts w:cs="Times New Roman"/>
                <w:sz w:val="24"/>
              </w:rPr>
            </w:pPr>
            <w:r w:rsidRPr="00B759D0">
              <w:rPr>
                <w:rFonts w:cs="Times New Roman"/>
                <w:sz w:val="24"/>
              </w:rPr>
              <w:t>(laughs)</w:t>
            </w:r>
          </w:p>
        </w:tc>
      </w:tr>
      <w:tr w:rsidR="006C08A2" w:rsidRPr="00B759D0" w14:paraId="273E11D7" w14:textId="77777777" w:rsidTr="0008261C">
        <w:tc>
          <w:tcPr>
            <w:tcW w:w="440" w:type="dxa"/>
            <w:hideMark/>
          </w:tcPr>
          <w:p w14:paraId="3345EF12" w14:textId="77777777" w:rsidR="006C08A2" w:rsidRPr="00B759D0" w:rsidRDefault="006C08A2" w:rsidP="00841A7D">
            <w:pPr>
              <w:spacing w:line="360" w:lineRule="auto"/>
              <w:jc w:val="left"/>
              <w:rPr>
                <w:rFonts w:cs="Times New Roman"/>
                <w:sz w:val="24"/>
              </w:rPr>
            </w:pPr>
            <w:r w:rsidRPr="00B759D0">
              <w:rPr>
                <w:rFonts w:cs="Times New Roman"/>
                <w:sz w:val="24"/>
              </w:rPr>
              <w:t>10</w:t>
            </w:r>
          </w:p>
          <w:p w14:paraId="1CF1483A" w14:textId="77777777" w:rsidR="006C08A2" w:rsidRPr="00B759D0" w:rsidRDefault="006C08A2" w:rsidP="00841A7D">
            <w:pPr>
              <w:spacing w:line="360" w:lineRule="auto"/>
              <w:jc w:val="left"/>
              <w:rPr>
                <w:rFonts w:cs="Times New Roman"/>
                <w:sz w:val="24"/>
              </w:rPr>
            </w:pPr>
            <w:r w:rsidRPr="00B759D0">
              <w:rPr>
                <w:rFonts w:cs="Times New Roman"/>
                <w:sz w:val="24"/>
              </w:rPr>
              <w:t>11</w:t>
            </w:r>
          </w:p>
        </w:tc>
        <w:tc>
          <w:tcPr>
            <w:tcW w:w="599" w:type="dxa"/>
            <w:hideMark/>
          </w:tcPr>
          <w:p w14:paraId="6F6CA5DF" w14:textId="77777777" w:rsidR="006C08A2" w:rsidRPr="00B759D0" w:rsidRDefault="006C08A2" w:rsidP="00841A7D">
            <w:pPr>
              <w:spacing w:line="360" w:lineRule="auto"/>
              <w:jc w:val="left"/>
              <w:rPr>
                <w:rFonts w:cs="Times New Roman"/>
                <w:sz w:val="24"/>
              </w:rPr>
            </w:pPr>
            <w:r w:rsidRPr="00B759D0">
              <w:rPr>
                <w:rFonts w:cs="Times New Roman"/>
                <w:sz w:val="24"/>
              </w:rPr>
              <w:t>AD</w:t>
            </w:r>
          </w:p>
        </w:tc>
        <w:tc>
          <w:tcPr>
            <w:tcW w:w="7987" w:type="dxa"/>
            <w:hideMark/>
          </w:tcPr>
          <w:p w14:paraId="36243CD2" w14:textId="77777777" w:rsidR="006C08A2" w:rsidRPr="00B759D0" w:rsidRDefault="006C08A2" w:rsidP="00841A7D">
            <w:pPr>
              <w:spacing w:line="360" w:lineRule="auto"/>
              <w:jc w:val="left"/>
              <w:rPr>
                <w:rFonts w:cs="Times New Roman"/>
                <w:sz w:val="24"/>
              </w:rPr>
            </w:pPr>
            <w:r w:rsidRPr="00B759D0">
              <w:rPr>
                <w:rFonts w:cs="Times New Roman"/>
                <w:sz w:val="24"/>
              </w:rPr>
              <w:t>And you always fear, because it’s so familiar, you fear you’ve told this audience the same joke before, yeah</w:t>
            </w:r>
          </w:p>
        </w:tc>
      </w:tr>
      <w:tr w:rsidR="006C08A2" w:rsidRPr="00B759D0" w14:paraId="55C0361F" w14:textId="77777777" w:rsidTr="0008261C">
        <w:tc>
          <w:tcPr>
            <w:tcW w:w="440" w:type="dxa"/>
            <w:hideMark/>
          </w:tcPr>
          <w:p w14:paraId="133F3EDF" w14:textId="77777777" w:rsidR="006C08A2" w:rsidRPr="00B759D0" w:rsidRDefault="006C08A2" w:rsidP="00841A7D">
            <w:pPr>
              <w:spacing w:line="360" w:lineRule="auto"/>
              <w:jc w:val="left"/>
              <w:rPr>
                <w:rFonts w:cs="Times New Roman"/>
                <w:sz w:val="24"/>
              </w:rPr>
            </w:pPr>
            <w:r w:rsidRPr="00B759D0">
              <w:rPr>
                <w:rFonts w:cs="Times New Roman"/>
                <w:sz w:val="24"/>
              </w:rPr>
              <w:t>12</w:t>
            </w:r>
          </w:p>
        </w:tc>
        <w:tc>
          <w:tcPr>
            <w:tcW w:w="599" w:type="dxa"/>
          </w:tcPr>
          <w:p w14:paraId="7C5BBBB6" w14:textId="77777777" w:rsidR="006C08A2" w:rsidRPr="00B759D0" w:rsidRDefault="006C08A2" w:rsidP="00841A7D">
            <w:pPr>
              <w:spacing w:line="360" w:lineRule="auto"/>
              <w:jc w:val="left"/>
              <w:rPr>
                <w:rFonts w:cs="Times New Roman"/>
                <w:sz w:val="24"/>
              </w:rPr>
            </w:pPr>
          </w:p>
        </w:tc>
        <w:tc>
          <w:tcPr>
            <w:tcW w:w="7987" w:type="dxa"/>
            <w:hideMark/>
          </w:tcPr>
          <w:p w14:paraId="663D38FD" w14:textId="77777777" w:rsidR="006C08A2" w:rsidRPr="00B759D0" w:rsidRDefault="006C08A2" w:rsidP="00841A7D">
            <w:pPr>
              <w:spacing w:line="360" w:lineRule="auto"/>
              <w:jc w:val="left"/>
              <w:rPr>
                <w:rFonts w:cs="Times New Roman"/>
                <w:sz w:val="24"/>
              </w:rPr>
            </w:pPr>
            <w:r w:rsidRPr="00B759D0">
              <w:rPr>
                <w:rFonts w:cs="Times New Roman"/>
                <w:sz w:val="24"/>
              </w:rPr>
              <w:t>Yeah, yeah (laughs)</w:t>
            </w:r>
          </w:p>
        </w:tc>
      </w:tr>
    </w:tbl>
    <w:p w14:paraId="49E938E6" w14:textId="77777777" w:rsidR="006C08A2" w:rsidRPr="00B759D0" w:rsidRDefault="006C08A2" w:rsidP="00841A7D">
      <w:pPr>
        <w:spacing w:line="360" w:lineRule="auto"/>
        <w:jc w:val="left"/>
        <w:rPr>
          <w:rFonts w:cs="Times New Roman"/>
          <w:sz w:val="24"/>
        </w:rPr>
      </w:pPr>
      <w:r w:rsidRPr="00B759D0">
        <w:rPr>
          <w:rFonts w:cs="Times New Roman"/>
          <w:sz w:val="24"/>
        </w:rPr>
        <w:t>(4)</w:t>
      </w:r>
    </w:p>
    <w:p w14:paraId="1338B024" w14:textId="77777777" w:rsidR="006C08A2" w:rsidRPr="00B759D0" w:rsidRDefault="006C08A2" w:rsidP="00841A7D">
      <w:pPr>
        <w:spacing w:line="360" w:lineRule="auto"/>
        <w:jc w:val="left"/>
        <w:rPr>
          <w:rFonts w:cs="Times New Roman"/>
          <w:sz w:val="24"/>
        </w:rPr>
      </w:pPr>
      <w:r w:rsidRPr="00B759D0">
        <w:rPr>
          <w:rFonts w:cs="Times New Roman"/>
          <w:sz w:val="24"/>
        </w:rPr>
        <w:t>Importantly, there were also many instances of language used to promote or enhance harmonious relationships. For example, in the extract below, LS offers an alternative suggestion to an activity that Sam suggested but uses strategies to mitigate any possible face threat this may engender. First, LS praises part of Sam’s idea (1-2), then uses mitigators and softeners to preface her suggestions (3-4, 5-7, 9-10). She uses the more inclusive pronoun ‘we’ in line 2 (instead of ‘you’), indicating collaboration and shared endeavour, and ends with a question (10), eliciting and valuing Sam’s opinion: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
        <w:gridCol w:w="643"/>
        <w:gridCol w:w="7401"/>
      </w:tblGrid>
      <w:tr w:rsidR="006C08A2" w:rsidRPr="00B759D0" w14:paraId="75555FB0" w14:textId="77777777" w:rsidTr="0008261C">
        <w:tc>
          <w:tcPr>
            <w:tcW w:w="460" w:type="dxa"/>
            <w:hideMark/>
          </w:tcPr>
          <w:p w14:paraId="00CA0DBA" w14:textId="77777777" w:rsidR="006C08A2" w:rsidRPr="00B759D0" w:rsidRDefault="006C08A2" w:rsidP="00841A7D">
            <w:pPr>
              <w:spacing w:line="360" w:lineRule="auto"/>
              <w:jc w:val="left"/>
              <w:rPr>
                <w:rFonts w:cs="Times New Roman"/>
                <w:sz w:val="24"/>
              </w:rPr>
            </w:pPr>
            <w:r w:rsidRPr="00B759D0">
              <w:rPr>
                <w:rFonts w:cs="Times New Roman"/>
                <w:sz w:val="24"/>
              </w:rPr>
              <w:t>1</w:t>
            </w:r>
          </w:p>
          <w:p w14:paraId="627D5855" w14:textId="77777777" w:rsidR="006C08A2" w:rsidRPr="00B759D0" w:rsidRDefault="006C08A2" w:rsidP="00841A7D">
            <w:pPr>
              <w:spacing w:line="360" w:lineRule="auto"/>
              <w:jc w:val="left"/>
              <w:rPr>
                <w:rFonts w:cs="Times New Roman"/>
                <w:sz w:val="24"/>
              </w:rPr>
            </w:pPr>
            <w:r w:rsidRPr="00B759D0">
              <w:rPr>
                <w:rFonts w:cs="Times New Roman"/>
                <w:sz w:val="24"/>
              </w:rPr>
              <w:lastRenderedPageBreak/>
              <w:t>2</w:t>
            </w:r>
          </w:p>
          <w:p w14:paraId="7DB2A4D2" w14:textId="77777777" w:rsidR="006C08A2" w:rsidRPr="00B759D0" w:rsidRDefault="006C08A2" w:rsidP="00841A7D">
            <w:pPr>
              <w:spacing w:line="360" w:lineRule="auto"/>
              <w:jc w:val="left"/>
              <w:rPr>
                <w:rFonts w:cs="Times New Roman"/>
                <w:sz w:val="24"/>
              </w:rPr>
            </w:pPr>
            <w:r w:rsidRPr="00B759D0">
              <w:rPr>
                <w:rFonts w:cs="Times New Roman"/>
                <w:sz w:val="24"/>
              </w:rPr>
              <w:t>3</w:t>
            </w:r>
          </w:p>
          <w:p w14:paraId="4969FFD4" w14:textId="77777777" w:rsidR="006C08A2" w:rsidRPr="00B759D0" w:rsidRDefault="006C08A2" w:rsidP="00841A7D">
            <w:pPr>
              <w:spacing w:line="360" w:lineRule="auto"/>
              <w:jc w:val="left"/>
              <w:rPr>
                <w:rFonts w:cs="Times New Roman"/>
                <w:sz w:val="24"/>
              </w:rPr>
            </w:pPr>
            <w:r w:rsidRPr="00B759D0">
              <w:rPr>
                <w:rFonts w:cs="Times New Roman"/>
                <w:sz w:val="24"/>
              </w:rPr>
              <w:t>4</w:t>
            </w:r>
          </w:p>
          <w:p w14:paraId="02884575" w14:textId="77777777" w:rsidR="006C08A2" w:rsidRPr="00B759D0" w:rsidRDefault="006C08A2" w:rsidP="00841A7D">
            <w:pPr>
              <w:spacing w:line="360" w:lineRule="auto"/>
              <w:jc w:val="left"/>
              <w:rPr>
                <w:rFonts w:cs="Times New Roman"/>
                <w:sz w:val="24"/>
              </w:rPr>
            </w:pPr>
            <w:r w:rsidRPr="00B759D0">
              <w:rPr>
                <w:rFonts w:cs="Times New Roman"/>
                <w:sz w:val="24"/>
              </w:rPr>
              <w:t>5</w:t>
            </w:r>
          </w:p>
          <w:p w14:paraId="40DD3A06" w14:textId="77777777" w:rsidR="006C08A2" w:rsidRPr="00B759D0" w:rsidRDefault="006C08A2" w:rsidP="00841A7D">
            <w:pPr>
              <w:spacing w:line="360" w:lineRule="auto"/>
              <w:jc w:val="left"/>
              <w:rPr>
                <w:rFonts w:cs="Times New Roman"/>
                <w:sz w:val="24"/>
              </w:rPr>
            </w:pPr>
            <w:r w:rsidRPr="00B759D0">
              <w:rPr>
                <w:rFonts w:cs="Times New Roman"/>
                <w:sz w:val="24"/>
              </w:rPr>
              <w:t>6</w:t>
            </w:r>
          </w:p>
          <w:p w14:paraId="0207CB95" w14:textId="77777777" w:rsidR="006C08A2" w:rsidRPr="00B759D0" w:rsidRDefault="006C08A2" w:rsidP="00841A7D">
            <w:pPr>
              <w:spacing w:line="360" w:lineRule="auto"/>
              <w:jc w:val="left"/>
              <w:rPr>
                <w:rFonts w:cs="Times New Roman"/>
                <w:sz w:val="24"/>
              </w:rPr>
            </w:pPr>
            <w:r w:rsidRPr="00B759D0">
              <w:rPr>
                <w:rFonts w:cs="Times New Roman"/>
                <w:sz w:val="24"/>
              </w:rPr>
              <w:t>7</w:t>
            </w:r>
          </w:p>
        </w:tc>
        <w:tc>
          <w:tcPr>
            <w:tcW w:w="599" w:type="dxa"/>
            <w:hideMark/>
          </w:tcPr>
          <w:p w14:paraId="0019BD9E" w14:textId="77777777" w:rsidR="006C08A2" w:rsidRPr="00B759D0" w:rsidRDefault="006C08A2" w:rsidP="00841A7D">
            <w:pPr>
              <w:spacing w:line="360" w:lineRule="auto"/>
              <w:jc w:val="left"/>
              <w:rPr>
                <w:rFonts w:cs="Times New Roman"/>
                <w:sz w:val="24"/>
              </w:rPr>
            </w:pPr>
            <w:r w:rsidRPr="00B759D0">
              <w:rPr>
                <w:rFonts w:cs="Times New Roman"/>
                <w:sz w:val="24"/>
              </w:rPr>
              <w:lastRenderedPageBreak/>
              <w:t>LS</w:t>
            </w:r>
          </w:p>
        </w:tc>
        <w:tc>
          <w:tcPr>
            <w:tcW w:w="7967" w:type="dxa"/>
            <w:hideMark/>
          </w:tcPr>
          <w:p w14:paraId="768C0980" w14:textId="77777777" w:rsidR="006C08A2" w:rsidRPr="00B759D0" w:rsidRDefault="006C08A2" w:rsidP="00841A7D">
            <w:pPr>
              <w:spacing w:line="360" w:lineRule="auto"/>
              <w:jc w:val="left"/>
              <w:rPr>
                <w:rFonts w:cs="Times New Roman"/>
                <w:color w:val="FF0000"/>
                <w:sz w:val="24"/>
              </w:rPr>
            </w:pPr>
            <w:r w:rsidRPr="00B759D0">
              <w:rPr>
                <w:rFonts w:cs="Times New Roman"/>
                <w:color w:val="000000" w:themeColor="text1"/>
                <w:sz w:val="24"/>
              </w:rPr>
              <w:t xml:space="preserve">So, I think it’s really great that you're showing them exemplars.  I think that’s really important. But I wonder if there’s a way that we could work </w:t>
            </w:r>
            <w:r w:rsidRPr="00B759D0">
              <w:rPr>
                <w:rFonts w:cs="Times New Roman"/>
                <w:color w:val="000000" w:themeColor="text1"/>
                <w:sz w:val="24"/>
              </w:rPr>
              <w:lastRenderedPageBreak/>
              <w:t xml:space="preserve">with these exemplars where instead of you giving them the headings, that you give them the opportunity to explore these examples and come to a realisation of why they're effective. And I wonder if you have three or four that they look at that are written in different ways, that could maybe give them a sense that there </w:t>
            </w:r>
            <w:r w:rsidRPr="00B759D0">
              <w:rPr>
                <w:rFonts w:cs="Times New Roman"/>
                <w:sz w:val="24"/>
              </w:rPr>
              <w:t>are different ways to attack this while they can still achieve their overall purpose</w:t>
            </w:r>
          </w:p>
        </w:tc>
      </w:tr>
      <w:tr w:rsidR="006C08A2" w:rsidRPr="00B759D0" w14:paraId="7FABC560" w14:textId="77777777" w:rsidTr="0008261C">
        <w:tc>
          <w:tcPr>
            <w:tcW w:w="460" w:type="dxa"/>
            <w:hideMark/>
          </w:tcPr>
          <w:p w14:paraId="6744DD4B" w14:textId="77777777" w:rsidR="006C08A2" w:rsidRPr="00B759D0" w:rsidRDefault="006C08A2" w:rsidP="00841A7D">
            <w:pPr>
              <w:spacing w:line="360" w:lineRule="auto"/>
              <w:jc w:val="left"/>
              <w:rPr>
                <w:rFonts w:cs="Times New Roman"/>
                <w:sz w:val="24"/>
              </w:rPr>
            </w:pPr>
            <w:r w:rsidRPr="00B759D0">
              <w:rPr>
                <w:rFonts w:cs="Times New Roman"/>
                <w:sz w:val="24"/>
              </w:rPr>
              <w:lastRenderedPageBreak/>
              <w:t>8</w:t>
            </w:r>
          </w:p>
        </w:tc>
        <w:tc>
          <w:tcPr>
            <w:tcW w:w="599" w:type="dxa"/>
            <w:hideMark/>
          </w:tcPr>
          <w:p w14:paraId="57EA77E9" w14:textId="77777777" w:rsidR="006C08A2" w:rsidRPr="00B759D0" w:rsidRDefault="006C08A2" w:rsidP="00841A7D">
            <w:pPr>
              <w:spacing w:line="360" w:lineRule="auto"/>
              <w:jc w:val="left"/>
              <w:rPr>
                <w:rFonts w:cs="Times New Roman"/>
                <w:sz w:val="24"/>
              </w:rPr>
            </w:pPr>
            <w:r w:rsidRPr="00B759D0">
              <w:rPr>
                <w:rFonts w:cs="Times New Roman"/>
                <w:sz w:val="24"/>
              </w:rPr>
              <w:t>Sam</w:t>
            </w:r>
          </w:p>
        </w:tc>
        <w:tc>
          <w:tcPr>
            <w:tcW w:w="7967" w:type="dxa"/>
            <w:hideMark/>
          </w:tcPr>
          <w:p w14:paraId="5907148A" w14:textId="77777777" w:rsidR="006C08A2" w:rsidRPr="00B759D0" w:rsidRDefault="006C08A2" w:rsidP="00841A7D">
            <w:pPr>
              <w:spacing w:line="360" w:lineRule="auto"/>
              <w:jc w:val="left"/>
              <w:rPr>
                <w:rFonts w:cs="Times New Roman"/>
                <w:color w:val="000000" w:themeColor="text1"/>
                <w:sz w:val="24"/>
              </w:rPr>
            </w:pPr>
            <w:r w:rsidRPr="00B759D0">
              <w:rPr>
                <w:rFonts w:cs="Times New Roman"/>
                <w:sz w:val="24"/>
              </w:rPr>
              <w:t>Yeah, yeah, yeah</w:t>
            </w:r>
          </w:p>
        </w:tc>
      </w:tr>
      <w:tr w:rsidR="006C08A2" w:rsidRPr="00B759D0" w14:paraId="2728B10E" w14:textId="77777777" w:rsidTr="0008261C">
        <w:tc>
          <w:tcPr>
            <w:tcW w:w="460" w:type="dxa"/>
            <w:hideMark/>
          </w:tcPr>
          <w:p w14:paraId="7BBFEC82" w14:textId="77777777" w:rsidR="006C08A2" w:rsidRPr="00B759D0" w:rsidRDefault="006C08A2" w:rsidP="00841A7D">
            <w:pPr>
              <w:spacing w:line="360" w:lineRule="auto"/>
              <w:jc w:val="left"/>
              <w:rPr>
                <w:rFonts w:cs="Times New Roman"/>
                <w:sz w:val="24"/>
              </w:rPr>
            </w:pPr>
            <w:r w:rsidRPr="00B759D0">
              <w:rPr>
                <w:rFonts w:cs="Times New Roman"/>
                <w:sz w:val="24"/>
              </w:rPr>
              <w:t>9</w:t>
            </w:r>
          </w:p>
          <w:p w14:paraId="0CE12227" w14:textId="77777777" w:rsidR="006C08A2" w:rsidRPr="00B759D0" w:rsidRDefault="006C08A2" w:rsidP="00841A7D">
            <w:pPr>
              <w:spacing w:line="360" w:lineRule="auto"/>
              <w:jc w:val="left"/>
              <w:rPr>
                <w:rFonts w:cs="Times New Roman"/>
                <w:sz w:val="24"/>
              </w:rPr>
            </w:pPr>
            <w:r w:rsidRPr="00B759D0">
              <w:rPr>
                <w:rFonts w:cs="Times New Roman"/>
                <w:sz w:val="24"/>
              </w:rPr>
              <w:t>10</w:t>
            </w:r>
          </w:p>
        </w:tc>
        <w:tc>
          <w:tcPr>
            <w:tcW w:w="599" w:type="dxa"/>
            <w:hideMark/>
          </w:tcPr>
          <w:p w14:paraId="33E7ED70"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7967" w:type="dxa"/>
            <w:hideMark/>
          </w:tcPr>
          <w:p w14:paraId="638CAF29" w14:textId="77777777" w:rsidR="006C08A2" w:rsidRPr="00B759D0" w:rsidRDefault="006C08A2" w:rsidP="00841A7D">
            <w:pPr>
              <w:spacing w:line="360" w:lineRule="auto"/>
              <w:jc w:val="left"/>
              <w:rPr>
                <w:rFonts w:cs="Times New Roman"/>
                <w:sz w:val="24"/>
              </w:rPr>
            </w:pPr>
            <w:r w:rsidRPr="00B759D0">
              <w:rPr>
                <w:rFonts w:cs="Times New Roman"/>
                <w:sz w:val="24"/>
              </w:rPr>
              <w:t xml:space="preserve">So, a kind of exploration of examples and why they're effective, rather than a kind of top-down structure. </w:t>
            </w:r>
            <w:r w:rsidRPr="00B759D0">
              <w:rPr>
                <w:rFonts w:cs="Times New Roman"/>
                <w:color w:val="000000" w:themeColor="text1"/>
                <w:sz w:val="24"/>
              </w:rPr>
              <w:t>Do you think that that would be something worth trying?</w:t>
            </w:r>
          </w:p>
        </w:tc>
      </w:tr>
    </w:tbl>
    <w:p w14:paraId="5F1D34E9" w14:textId="77777777" w:rsidR="006C08A2" w:rsidRPr="00B759D0" w:rsidRDefault="006C08A2" w:rsidP="00841A7D">
      <w:pPr>
        <w:spacing w:line="360" w:lineRule="auto"/>
        <w:jc w:val="left"/>
        <w:rPr>
          <w:rFonts w:cs="Times New Roman"/>
          <w:sz w:val="24"/>
        </w:rPr>
      </w:pPr>
      <w:r w:rsidRPr="00B759D0">
        <w:rPr>
          <w:rFonts w:cs="Times New Roman"/>
          <w:sz w:val="24"/>
        </w:rPr>
        <w:t>(4)</w:t>
      </w:r>
    </w:p>
    <w:p w14:paraId="7E83ABC7" w14:textId="77777777" w:rsidR="006C08A2" w:rsidRPr="00B759D0" w:rsidRDefault="006C08A2" w:rsidP="00841A7D">
      <w:pPr>
        <w:spacing w:line="360" w:lineRule="auto"/>
        <w:jc w:val="left"/>
        <w:rPr>
          <w:rFonts w:cs="Times New Roman"/>
          <w:color w:val="000000" w:themeColor="text1"/>
          <w:sz w:val="24"/>
          <w:u w:val="single"/>
        </w:rPr>
      </w:pPr>
      <w:r w:rsidRPr="00B759D0">
        <w:rPr>
          <w:rFonts w:cs="Times New Roman"/>
          <w:color w:val="000000" w:themeColor="text1"/>
          <w:sz w:val="24"/>
        </w:rPr>
        <w:t xml:space="preserve">There are also many instances of LS and AD offering encouragement to Sam and enthusiasm for the tasks they are designing, for example: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
        <w:gridCol w:w="497"/>
        <w:gridCol w:w="7593"/>
      </w:tblGrid>
      <w:tr w:rsidR="006C08A2" w:rsidRPr="00B759D0" w14:paraId="504C9819" w14:textId="77777777" w:rsidTr="0008261C">
        <w:tc>
          <w:tcPr>
            <w:tcW w:w="421" w:type="dxa"/>
            <w:hideMark/>
          </w:tcPr>
          <w:p w14:paraId="1C61E908" w14:textId="77777777" w:rsidR="006C08A2" w:rsidRPr="00B759D0" w:rsidRDefault="006C08A2" w:rsidP="00841A7D">
            <w:pPr>
              <w:spacing w:line="360" w:lineRule="auto"/>
              <w:jc w:val="left"/>
              <w:rPr>
                <w:rFonts w:cs="Times New Roman"/>
                <w:sz w:val="24"/>
              </w:rPr>
            </w:pPr>
            <w:r w:rsidRPr="00B759D0">
              <w:rPr>
                <w:rFonts w:cs="Times New Roman"/>
                <w:sz w:val="24"/>
              </w:rPr>
              <w:t>1</w:t>
            </w:r>
          </w:p>
        </w:tc>
        <w:tc>
          <w:tcPr>
            <w:tcW w:w="428" w:type="dxa"/>
            <w:hideMark/>
          </w:tcPr>
          <w:p w14:paraId="73359592"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8167" w:type="dxa"/>
            <w:hideMark/>
          </w:tcPr>
          <w:p w14:paraId="69B7EEAF" w14:textId="77777777" w:rsidR="006C08A2" w:rsidRPr="00B759D0" w:rsidRDefault="006C08A2" w:rsidP="00841A7D">
            <w:pPr>
              <w:spacing w:line="360" w:lineRule="auto"/>
              <w:jc w:val="left"/>
              <w:rPr>
                <w:rFonts w:cs="Times New Roman"/>
                <w:sz w:val="24"/>
              </w:rPr>
            </w:pPr>
            <w:r w:rsidRPr="00B759D0">
              <w:rPr>
                <w:rFonts w:cs="Times New Roman"/>
                <w:sz w:val="24"/>
              </w:rPr>
              <w:t>Exciting – I love it when things aren't rigid, and students can explore</w:t>
            </w:r>
          </w:p>
        </w:tc>
      </w:tr>
    </w:tbl>
    <w:p w14:paraId="2573DFD5" w14:textId="77777777" w:rsidR="006C08A2" w:rsidRPr="00B759D0" w:rsidRDefault="006C08A2" w:rsidP="00841A7D">
      <w:pPr>
        <w:spacing w:line="360" w:lineRule="auto"/>
        <w:jc w:val="left"/>
        <w:rPr>
          <w:rFonts w:cs="Times New Roman"/>
          <w:sz w:val="24"/>
        </w:rPr>
      </w:pPr>
      <w:r w:rsidRPr="00B759D0">
        <w:rPr>
          <w:rFonts w:cs="Times New Roman"/>
          <w:sz w:val="24"/>
        </w:rPr>
        <w:t>(4)</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
        <w:gridCol w:w="497"/>
        <w:gridCol w:w="7593"/>
      </w:tblGrid>
      <w:tr w:rsidR="006C08A2" w:rsidRPr="00B759D0" w14:paraId="27783DE0" w14:textId="77777777" w:rsidTr="0008261C">
        <w:tc>
          <w:tcPr>
            <w:tcW w:w="421" w:type="dxa"/>
            <w:hideMark/>
          </w:tcPr>
          <w:p w14:paraId="695EC5AB" w14:textId="77777777" w:rsidR="006C08A2" w:rsidRPr="00B759D0" w:rsidRDefault="006C08A2" w:rsidP="00841A7D">
            <w:pPr>
              <w:spacing w:line="360" w:lineRule="auto"/>
              <w:jc w:val="left"/>
              <w:rPr>
                <w:rFonts w:cs="Times New Roman"/>
                <w:sz w:val="24"/>
              </w:rPr>
            </w:pPr>
            <w:r w:rsidRPr="00B759D0">
              <w:rPr>
                <w:rFonts w:cs="Times New Roman"/>
                <w:sz w:val="24"/>
              </w:rPr>
              <w:t>1</w:t>
            </w:r>
          </w:p>
        </w:tc>
        <w:tc>
          <w:tcPr>
            <w:tcW w:w="428" w:type="dxa"/>
            <w:hideMark/>
          </w:tcPr>
          <w:p w14:paraId="73D22269"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8167" w:type="dxa"/>
            <w:hideMark/>
          </w:tcPr>
          <w:p w14:paraId="5F7F088F" w14:textId="77777777" w:rsidR="006C08A2" w:rsidRPr="00B759D0" w:rsidRDefault="006C08A2" w:rsidP="00841A7D">
            <w:pPr>
              <w:spacing w:line="360" w:lineRule="auto"/>
              <w:jc w:val="left"/>
              <w:rPr>
                <w:rFonts w:cs="Times New Roman"/>
                <w:sz w:val="24"/>
              </w:rPr>
            </w:pPr>
            <w:r w:rsidRPr="00B759D0">
              <w:rPr>
                <w:rFonts w:cs="Times New Roman"/>
                <w:sz w:val="24"/>
              </w:rPr>
              <w:t xml:space="preserve">I’m really excited to see how it goes </w:t>
            </w:r>
          </w:p>
        </w:tc>
      </w:tr>
    </w:tbl>
    <w:p w14:paraId="4AEA91BE" w14:textId="77777777" w:rsidR="006C08A2" w:rsidRPr="00B759D0" w:rsidRDefault="006C08A2" w:rsidP="00841A7D">
      <w:pPr>
        <w:spacing w:line="360" w:lineRule="auto"/>
        <w:jc w:val="left"/>
        <w:rPr>
          <w:rFonts w:cs="Times New Roman"/>
          <w:color w:val="FF0000"/>
          <w:sz w:val="24"/>
        </w:rPr>
      </w:pPr>
      <w:r w:rsidRPr="00B759D0">
        <w:rPr>
          <w:rFonts w:cs="Times New Roman"/>
          <w:sz w:val="24"/>
        </w:rPr>
        <w:t>(6)</w:t>
      </w:r>
    </w:p>
    <w:p w14:paraId="23E5F7EC" w14:textId="77777777" w:rsidR="006C08A2" w:rsidRPr="00B759D0" w:rsidRDefault="006C08A2" w:rsidP="00841A7D">
      <w:pPr>
        <w:spacing w:line="360" w:lineRule="auto"/>
        <w:jc w:val="left"/>
        <w:rPr>
          <w:rFonts w:cs="Times New Roman"/>
          <w:sz w:val="24"/>
          <w:u w:val="single"/>
        </w:rPr>
      </w:pPr>
      <w:r w:rsidRPr="00B759D0">
        <w:rPr>
          <w:rFonts w:cs="Times New Roman"/>
          <w:color w:val="000000" w:themeColor="text1"/>
          <w:sz w:val="24"/>
        </w:rPr>
        <w:t xml:space="preserve">Participants engaged in collective talk, expressing willingness to </w:t>
      </w:r>
      <w:r w:rsidRPr="00B759D0">
        <w:rPr>
          <w:rFonts w:cs="Times New Roman"/>
          <w:sz w:val="24"/>
        </w:rPr>
        <w:t>address their goal together. For example, at the beginning of meeting 1, LS explained the meeting purpose as “to plan together a bit of teaching that you're going to do on the module”, and at the end of the meeting, ensured Sam knew what she needed to do and checked whether she required assistance: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643"/>
        <w:gridCol w:w="7412"/>
      </w:tblGrid>
      <w:tr w:rsidR="006C08A2" w:rsidRPr="00B759D0" w14:paraId="0C0E6C86" w14:textId="77777777" w:rsidTr="0008261C">
        <w:tc>
          <w:tcPr>
            <w:tcW w:w="460" w:type="dxa"/>
            <w:hideMark/>
          </w:tcPr>
          <w:p w14:paraId="4864E0AA" w14:textId="77777777" w:rsidR="006C08A2" w:rsidRPr="00B759D0" w:rsidRDefault="006C08A2" w:rsidP="00841A7D">
            <w:pPr>
              <w:spacing w:line="360" w:lineRule="auto"/>
              <w:jc w:val="left"/>
              <w:rPr>
                <w:rFonts w:cs="Times New Roman"/>
                <w:sz w:val="24"/>
              </w:rPr>
            </w:pPr>
            <w:r w:rsidRPr="00B759D0">
              <w:rPr>
                <w:rFonts w:cs="Times New Roman"/>
                <w:sz w:val="24"/>
              </w:rPr>
              <w:t>1</w:t>
            </w:r>
          </w:p>
          <w:p w14:paraId="610BC1FB" w14:textId="77777777" w:rsidR="006C08A2" w:rsidRPr="00B759D0" w:rsidRDefault="006C08A2" w:rsidP="00841A7D">
            <w:pPr>
              <w:spacing w:line="360" w:lineRule="auto"/>
              <w:jc w:val="left"/>
              <w:rPr>
                <w:rFonts w:cs="Times New Roman"/>
                <w:sz w:val="24"/>
              </w:rPr>
            </w:pPr>
            <w:r w:rsidRPr="00B759D0">
              <w:rPr>
                <w:rFonts w:cs="Times New Roman"/>
                <w:sz w:val="24"/>
              </w:rPr>
              <w:t>2</w:t>
            </w:r>
          </w:p>
        </w:tc>
        <w:tc>
          <w:tcPr>
            <w:tcW w:w="503" w:type="dxa"/>
            <w:hideMark/>
          </w:tcPr>
          <w:p w14:paraId="1B1DAD6D"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8063" w:type="dxa"/>
            <w:hideMark/>
          </w:tcPr>
          <w:p w14:paraId="5C92F002" w14:textId="77777777" w:rsidR="006C08A2" w:rsidRPr="00B759D0" w:rsidRDefault="006C08A2" w:rsidP="00841A7D">
            <w:pPr>
              <w:spacing w:line="360" w:lineRule="auto"/>
              <w:jc w:val="left"/>
              <w:rPr>
                <w:rFonts w:cs="Times New Roman"/>
                <w:sz w:val="24"/>
              </w:rPr>
            </w:pPr>
            <w:r w:rsidRPr="00B759D0">
              <w:rPr>
                <w:rFonts w:cs="Times New Roman"/>
                <w:sz w:val="24"/>
              </w:rPr>
              <w:t>do you want to go away and have a go at designing a task, an exploration task and taking the triangle and thinking about what you would say for each of the points</w:t>
            </w:r>
          </w:p>
        </w:tc>
      </w:tr>
      <w:tr w:rsidR="006C08A2" w:rsidRPr="00B759D0" w14:paraId="0593D132" w14:textId="77777777" w:rsidTr="0008261C">
        <w:tc>
          <w:tcPr>
            <w:tcW w:w="460" w:type="dxa"/>
            <w:hideMark/>
          </w:tcPr>
          <w:p w14:paraId="20660475" w14:textId="77777777" w:rsidR="006C08A2" w:rsidRPr="00B759D0" w:rsidRDefault="006C08A2" w:rsidP="00841A7D">
            <w:pPr>
              <w:spacing w:line="360" w:lineRule="auto"/>
              <w:jc w:val="left"/>
              <w:rPr>
                <w:rFonts w:cs="Times New Roman"/>
                <w:sz w:val="24"/>
              </w:rPr>
            </w:pPr>
            <w:r w:rsidRPr="00B759D0">
              <w:rPr>
                <w:rFonts w:cs="Times New Roman"/>
                <w:sz w:val="24"/>
              </w:rPr>
              <w:t>3</w:t>
            </w:r>
          </w:p>
        </w:tc>
        <w:tc>
          <w:tcPr>
            <w:tcW w:w="503" w:type="dxa"/>
            <w:hideMark/>
          </w:tcPr>
          <w:p w14:paraId="04C5C3B1" w14:textId="77777777" w:rsidR="006C08A2" w:rsidRPr="00B759D0" w:rsidRDefault="006C08A2" w:rsidP="00841A7D">
            <w:pPr>
              <w:spacing w:line="360" w:lineRule="auto"/>
              <w:jc w:val="left"/>
              <w:rPr>
                <w:rFonts w:cs="Times New Roman"/>
                <w:sz w:val="24"/>
              </w:rPr>
            </w:pPr>
            <w:r w:rsidRPr="00B759D0">
              <w:rPr>
                <w:rFonts w:cs="Times New Roman"/>
                <w:sz w:val="24"/>
              </w:rPr>
              <w:t>Sam</w:t>
            </w:r>
          </w:p>
        </w:tc>
        <w:tc>
          <w:tcPr>
            <w:tcW w:w="8063" w:type="dxa"/>
            <w:hideMark/>
          </w:tcPr>
          <w:p w14:paraId="31F0FFD8" w14:textId="77777777" w:rsidR="006C08A2" w:rsidRPr="00B759D0" w:rsidRDefault="006C08A2" w:rsidP="00841A7D">
            <w:pPr>
              <w:spacing w:line="360" w:lineRule="auto"/>
              <w:jc w:val="left"/>
              <w:rPr>
                <w:rFonts w:cs="Times New Roman"/>
                <w:sz w:val="24"/>
              </w:rPr>
            </w:pPr>
            <w:r w:rsidRPr="00B759D0">
              <w:rPr>
                <w:rFonts w:cs="Times New Roman"/>
                <w:sz w:val="24"/>
              </w:rPr>
              <w:t>Yeah, yeah</w:t>
            </w:r>
          </w:p>
        </w:tc>
      </w:tr>
      <w:tr w:rsidR="006C08A2" w:rsidRPr="00B759D0" w14:paraId="0D10B8C6" w14:textId="77777777" w:rsidTr="0008261C">
        <w:tc>
          <w:tcPr>
            <w:tcW w:w="460" w:type="dxa"/>
            <w:hideMark/>
          </w:tcPr>
          <w:p w14:paraId="12CD28D5" w14:textId="77777777" w:rsidR="006C08A2" w:rsidRPr="00B759D0" w:rsidRDefault="006C08A2" w:rsidP="00841A7D">
            <w:pPr>
              <w:spacing w:line="360" w:lineRule="auto"/>
              <w:jc w:val="left"/>
              <w:rPr>
                <w:rFonts w:cs="Times New Roman"/>
                <w:sz w:val="24"/>
              </w:rPr>
            </w:pPr>
            <w:r w:rsidRPr="00B759D0">
              <w:rPr>
                <w:rFonts w:cs="Times New Roman"/>
                <w:sz w:val="24"/>
              </w:rPr>
              <w:lastRenderedPageBreak/>
              <w:t>4</w:t>
            </w:r>
          </w:p>
          <w:p w14:paraId="63A439A9" w14:textId="77777777" w:rsidR="006C08A2" w:rsidRPr="00B759D0" w:rsidRDefault="006C08A2" w:rsidP="00841A7D">
            <w:pPr>
              <w:spacing w:line="360" w:lineRule="auto"/>
              <w:jc w:val="left"/>
              <w:rPr>
                <w:rFonts w:cs="Times New Roman"/>
                <w:sz w:val="24"/>
              </w:rPr>
            </w:pPr>
            <w:r w:rsidRPr="00B759D0">
              <w:rPr>
                <w:rFonts w:cs="Times New Roman"/>
                <w:sz w:val="24"/>
              </w:rPr>
              <w:t>5</w:t>
            </w:r>
          </w:p>
        </w:tc>
        <w:tc>
          <w:tcPr>
            <w:tcW w:w="503" w:type="dxa"/>
            <w:hideMark/>
          </w:tcPr>
          <w:p w14:paraId="2E44F0C5"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8063" w:type="dxa"/>
            <w:hideMark/>
          </w:tcPr>
          <w:p w14:paraId="25D59062" w14:textId="77777777" w:rsidR="006C08A2" w:rsidRPr="00B759D0" w:rsidRDefault="006C08A2" w:rsidP="00841A7D">
            <w:pPr>
              <w:spacing w:line="360" w:lineRule="auto"/>
              <w:jc w:val="left"/>
              <w:rPr>
                <w:rFonts w:cs="Times New Roman"/>
                <w:sz w:val="24"/>
              </w:rPr>
            </w:pPr>
            <w:r w:rsidRPr="00B759D0">
              <w:rPr>
                <w:rFonts w:cs="Times New Roman"/>
                <w:sz w:val="24"/>
              </w:rPr>
              <w:t>Do you think there’s anything else you need in the interim to support you to design that task or do you have some ideas and you’ve got your criteria</w:t>
            </w:r>
          </w:p>
        </w:tc>
      </w:tr>
      <w:tr w:rsidR="006C08A2" w:rsidRPr="00B759D0" w14:paraId="0781D0F1" w14:textId="77777777" w:rsidTr="0008261C">
        <w:tc>
          <w:tcPr>
            <w:tcW w:w="460" w:type="dxa"/>
            <w:hideMark/>
          </w:tcPr>
          <w:p w14:paraId="558D4E1C" w14:textId="77777777" w:rsidR="006C08A2" w:rsidRPr="00B759D0" w:rsidRDefault="006C08A2" w:rsidP="00841A7D">
            <w:pPr>
              <w:spacing w:line="360" w:lineRule="auto"/>
              <w:jc w:val="left"/>
              <w:rPr>
                <w:rFonts w:cs="Times New Roman"/>
                <w:sz w:val="24"/>
              </w:rPr>
            </w:pPr>
            <w:r w:rsidRPr="00B759D0">
              <w:rPr>
                <w:rFonts w:cs="Times New Roman"/>
                <w:sz w:val="24"/>
              </w:rPr>
              <w:t>6</w:t>
            </w:r>
          </w:p>
          <w:p w14:paraId="28FA5B45" w14:textId="77777777" w:rsidR="006C08A2" w:rsidRPr="00B759D0" w:rsidRDefault="006C08A2" w:rsidP="00841A7D">
            <w:pPr>
              <w:spacing w:line="360" w:lineRule="auto"/>
              <w:jc w:val="left"/>
              <w:rPr>
                <w:rFonts w:cs="Times New Roman"/>
                <w:sz w:val="24"/>
              </w:rPr>
            </w:pPr>
            <w:r w:rsidRPr="00B759D0">
              <w:rPr>
                <w:rFonts w:cs="Times New Roman"/>
                <w:sz w:val="24"/>
              </w:rPr>
              <w:t>7</w:t>
            </w:r>
          </w:p>
          <w:p w14:paraId="278C2A67" w14:textId="77777777" w:rsidR="006C08A2" w:rsidRPr="00B759D0" w:rsidRDefault="006C08A2" w:rsidP="00841A7D">
            <w:pPr>
              <w:spacing w:line="360" w:lineRule="auto"/>
              <w:jc w:val="left"/>
              <w:rPr>
                <w:rFonts w:cs="Times New Roman"/>
                <w:sz w:val="24"/>
              </w:rPr>
            </w:pPr>
            <w:r w:rsidRPr="00B759D0">
              <w:rPr>
                <w:rFonts w:cs="Times New Roman"/>
                <w:sz w:val="24"/>
              </w:rPr>
              <w:t>8</w:t>
            </w:r>
          </w:p>
        </w:tc>
        <w:tc>
          <w:tcPr>
            <w:tcW w:w="503" w:type="dxa"/>
            <w:hideMark/>
          </w:tcPr>
          <w:p w14:paraId="47437E12" w14:textId="77777777" w:rsidR="006C08A2" w:rsidRPr="00B759D0" w:rsidRDefault="006C08A2" w:rsidP="00841A7D">
            <w:pPr>
              <w:spacing w:line="360" w:lineRule="auto"/>
              <w:jc w:val="left"/>
              <w:rPr>
                <w:rFonts w:cs="Times New Roman"/>
                <w:sz w:val="24"/>
              </w:rPr>
            </w:pPr>
            <w:r w:rsidRPr="00B759D0">
              <w:rPr>
                <w:rFonts w:cs="Times New Roman"/>
                <w:sz w:val="24"/>
              </w:rPr>
              <w:t>Sam</w:t>
            </w:r>
          </w:p>
        </w:tc>
        <w:tc>
          <w:tcPr>
            <w:tcW w:w="8063" w:type="dxa"/>
            <w:hideMark/>
          </w:tcPr>
          <w:p w14:paraId="03484B6A" w14:textId="77777777" w:rsidR="006C08A2" w:rsidRPr="00B759D0" w:rsidRDefault="006C08A2" w:rsidP="00841A7D">
            <w:pPr>
              <w:spacing w:line="360" w:lineRule="auto"/>
              <w:jc w:val="left"/>
              <w:rPr>
                <w:rFonts w:cs="Times New Roman"/>
                <w:sz w:val="24"/>
              </w:rPr>
            </w:pPr>
            <w:r w:rsidRPr="00B759D0">
              <w:rPr>
                <w:rFonts w:cs="Times New Roman"/>
                <w:sz w:val="24"/>
              </w:rPr>
              <w:t>I think I’ll have a stab at it first. I feel, you know, let me have a go at it and then I will – it would be great to meet and talk through it as well and, yeah, I think that would be really good</w:t>
            </w:r>
          </w:p>
        </w:tc>
      </w:tr>
    </w:tbl>
    <w:p w14:paraId="1A396035" w14:textId="77777777" w:rsidR="006C08A2" w:rsidRPr="00B759D0" w:rsidRDefault="006C08A2" w:rsidP="00841A7D">
      <w:pPr>
        <w:spacing w:line="360" w:lineRule="auto"/>
        <w:jc w:val="left"/>
        <w:rPr>
          <w:rFonts w:cs="Times New Roman"/>
          <w:sz w:val="24"/>
        </w:rPr>
      </w:pPr>
      <w:r w:rsidRPr="00B759D0">
        <w:rPr>
          <w:rFonts w:cs="Times New Roman"/>
          <w:sz w:val="24"/>
        </w:rPr>
        <w:t xml:space="preserve">(4) </w:t>
      </w:r>
    </w:p>
    <w:p w14:paraId="262C93A2" w14:textId="77777777" w:rsidR="006C08A2" w:rsidRPr="00B759D0" w:rsidRDefault="006C08A2" w:rsidP="00841A7D">
      <w:pPr>
        <w:spacing w:line="360" w:lineRule="auto"/>
        <w:jc w:val="left"/>
        <w:rPr>
          <w:rFonts w:cs="Times New Roman"/>
          <w:color w:val="000000" w:themeColor="text1"/>
          <w:sz w:val="24"/>
          <w:u w:val="single"/>
        </w:rPr>
      </w:pPr>
      <w:r w:rsidRPr="00B759D0">
        <w:rPr>
          <w:rFonts w:cs="Times New Roman"/>
          <w:sz w:val="24"/>
        </w:rPr>
        <w:t>Secondly, talk was reciprocal, deliberative and culminative, aspects which often overlapped and co-occurred. While supportive and collective talk helped build relationships and established an atmosphere of cooperation and trust, reciprocal, deliberative and culminative talk developed knowledge and understanding. For example, while the participants discussed Sam’s task in which students first assess and grade two exemplar assignments and then analyse structure and language, LS begins by questioning the order of the two tasks: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
        <w:gridCol w:w="643"/>
        <w:gridCol w:w="7401"/>
      </w:tblGrid>
      <w:tr w:rsidR="006C08A2" w:rsidRPr="00B759D0" w14:paraId="4790C1E6" w14:textId="77777777" w:rsidTr="0008261C">
        <w:tc>
          <w:tcPr>
            <w:tcW w:w="460" w:type="dxa"/>
            <w:hideMark/>
          </w:tcPr>
          <w:p w14:paraId="172875E6" w14:textId="77777777" w:rsidR="006C08A2" w:rsidRPr="00B759D0" w:rsidRDefault="006C08A2" w:rsidP="00841A7D">
            <w:pPr>
              <w:spacing w:line="360" w:lineRule="auto"/>
              <w:jc w:val="left"/>
              <w:rPr>
                <w:rFonts w:cs="Times New Roman"/>
                <w:sz w:val="24"/>
              </w:rPr>
            </w:pPr>
            <w:r w:rsidRPr="00B759D0">
              <w:rPr>
                <w:rFonts w:cs="Times New Roman"/>
                <w:sz w:val="24"/>
              </w:rPr>
              <w:t>1</w:t>
            </w:r>
          </w:p>
        </w:tc>
        <w:tc>
          <w:tcPr>
            <w:tcW w:w="503" w:type="dxa"/>
            <w:hideMark/>
          </w:tcPr>
          <w:p w14:paraId="063FB1B1"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8053" w:type="dxa"/>
            <w:hideMark/>
          </w:tcPr>
          <w:p w14:paraId="549086D0" w14:textId="77777777" w:rsidR="006C08A2" w:rsidRPr="00B759D0" w:rsidRDefault="006C08A2" w:rsidP="00841A7D">
            <w:pPr>
              <w:spacing w:line="360" w:lineRule="auto"/>
              <w:jc w:val="left"/>
              <w:rPr>
                <w:rFonts w:cs="Times New Roman"/>
                <w:sz w:val="24"/>
              </w:rPr>
            </w:pPr>
            <w:r w:rsidRPr="00B759D0">
              <w:rPr>
                <w:rFonts w:cs="Times New Roman"/>
                <w:sz w:val="24"/>
              </w:rPr>
              <w:t>I wonder which order they should come in?</w:t>
            </w:r>
          </w:p>
        </w:tc>
      </w:tr>
      <w:tr w:rsidR="006C08A2" w:rsidRPr="00B759D0" w14:paraId="2FA07C84" w14:textId="77777777" w:rsidTr="0008261C">
        <w:tc>
          <w:tcPr>
            <w:tcW w:w="460" w:type="dxa"/>
            <w:hideMark/>
          </w:tcPr>
          <w:p w14:paraId="176B7F1B" w14:textId="77777777" w:rsidR="006C08A2" w:rsidRPr="00B759D0" w:rsidRDefault="006C08A2" w:rsidP="00841A7D">
            <w:pPr>
              <w:spacing w:line="360" w:lineRule="auto"/>
              <w:jc w:val="left"/>
              <w:rPr>
                <w:rFonts w:cs="Times New Roman"/>
                <w:sz w:val="24"/>
              </w:rPr>
            </w:pPr>
            <w:r w:rsidRPr="00B759D0">
              <w:rPr>
                <w:rFonts w:cs="Times New Roman"/>
                <w:sz w:val="24"/>
              </w:rPr>
              <w:t>2</w:t>
            </w:r>
          </w:p>
          <w:p w14:paraId="11F7ED87" w14:textId="77777777" w:rsidR="006C08A2" w:rsidRPr="00B759D0" w:rsidRDefault="006C08A2" w:rsidP="00841A7D">
            <w:pPr>
              <w:spacing w:line="360" w:lineRule="auto"/>
              <w:jc w:val="left"/>
              <w:rPr>
                <w:rFonts w:cs="Times New Roman"/>
                <w:sz w:val="24"/>
              </w:rPr>
            </w:pPr>
            <w:r w:rsidRPr="00B759D0">
              <w:rPr>
                <w:rFonts w:cs="Times New Roman"/>
                <w:sz w:val="24"/>
              </w:rPr>
              <w:t>3</w:t>
            </w:r>
          </w:p>
          <w:p w14:paraId="6F6008CA" w14:textId="77777777" w:rsidR="006C08A2" w:rsidRPr="00B759D0" w:rsidRDefault="006C08A2" w:rsidP="00841A7D">
            <w:pPr>
              <w:spacing w:line="360" w:lineRule="auto"/>
              <w:jc w:val="left"/>
              <w:rPr>
                <w:rFonts w:cs="Times New Roman"/>
                <w:sz w:val="24"/>
              </w:rPr>
            </w:pPr>
            <w:r w:rsidRPr="00B759D0">
              <w:rPr>
                <w:rFonts w:cs="Times New Roman"/>
                <w:sz w:val="24"/>
              </w:rPr>
              <w:t>4</w:t>
            </w:r>
          </w:p>
        </w:tc>
        <w:tc>
          <w:tcPr>
            <w:tcW w:w="503" w:type="dxa"/>
            <w:hideMark/>
          </w:tcPr>
          <w:p w14:paraId="523E28CA" w14:textId="77777777" w:rsidR="006C08A2" w:rsidRPr="00B759D0" w:rsidRDefault="006C08A2" w:rsidP="00841A7D">
            <w:pPr>
              <w:spacing w:line="360" w:lineRule="auto"/>
              <w:jc w:val="left"/>
              <w:rPr>
                <w:rFonts w:cs="Times New Roman"/>
                <w:sz w:val="24"/>
              </w:rPr>
            </w:pPr>
            <w:r w:rsidRPr="00B759D0">
              <w:rPr>
                <w:rFonts w:cs="Times New Roman"/>
                <w:sz w:val="24"/>
              </w:rPr>
              <w:t>Sam</w:t>
            </w:r>
          </w:p>
        </w:tc>
        <w:tc>
          <w:tcPr>
            <w:tcW w:w="8053" w:type="dxa"/>
            <w:hideMark/>
          </w:tcPr>
          <w:p w14:paraId="35AFAD84" w14:textId="77777777" w:rsidR="006C08A2" w:rsidRPr="00B759D0" w:rsidRDefault="006C08A2" w:rsidP="00841A7D">
            <w:pPr>
              <w:spacing w:line="360" w:lineRule="auto"/>
              <w:jc w:val="left"/>
              <w:rPr>
                <w:rFonts w:cs="Times New Roman"/>
                <w:sz w:val="24"/>
              </w:rPr>
            </w:pPr>
            <w:r w:rsidRPr="00B759D0">
              <w:rPr>
                <w:rFonts w:cs="Times New Roman"/>
                <w:sz w:val="24"/>
              </w:rPr>
              <w:t>Hmmm, I was think-, yeah, um…true, yeah that’s true.  I don't know.  I’d imagine that you'd just grade it first of all and then we deconstruct why they gave it that grade - we’d talk through it after they'd done the task of grading it</w:t>
            </w:r>
          </w:p>
        </w:tc>
      </w:tr>
      <w:tr w:rsidR="006C08A2" w:rsidRPr="00B759D0" w14:paraId="731394EA" w14:textId="77777777" w:rsidTr="0008261C">
        <w:tc>
          <w:tcPr>
            <w:tcW w:w="460" w:type="dxa"/>
            <w:hideMark/>
          </w:tcPr>
          <w:p w14:paraId="3AD5AC72" w14:textId="77777777" w:rsidR="006C08A2" w:rsidRPr="00B759D0" w:rsidRDefault="006C08A2" w:rsidP="00841A7D">
            <w:pPr>
              <w:spacing w:line="360" w:lineRule="auto"/>
              <w:jc w:val="left"/>
              <w:rPr>
                <w:rFonts w:cs="Times New Roman"/>
                <w:sz w:val="24"/>
              </w:rPr>
            </w:pPr>
            <w:r w:rsidRPr="00B759D0">
              <w:rPr>
                <w:rFonts w:cs="Times New Roman"/>
                <w:sz w:val="24"/>
              </w:rPr>
              <w:t>5</w:t>
            </w:r>
          </w:p>
        </w:tc>
        <w:tc>
          <w:tcPr>
            <w:tcW w:w="503" w:type="dxa"/>
            <w:hideMark/>
          </w:tcPr>
          <w:p w14:paraId="324558BF"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8053" w:type="dxa"/>
            <w:hideMark/>
          </w:tcPr>
          <w:p w14:paraId="296A6E3B" w14:textId="77777777" w:rsidR="006C08A2" w:rsidRPr="00B759D0" w:rsidRDefault="006C08A2" w:rsidP="00841A7D">
            <w:pPr>
              <w:spacing w:line="360" w:lineRule="auto"/>
              <w:jc w:val="left"/>
              <w:rPr>
                <w:rFonts w:cs="Times New Roman"/>
                <w:sz w:val="24"/>
              </w:rPr>
            </w:pPr>
            <w:r w:rsidRPr="00B759D0">
              <w:rPr>
                <w:rFonts w:cs="Times New Roman"/>
                <w:sz w:val="24"/>
              </w:rPr>
              <w:t>Would there be any advantages of doing it the other way round I wonder?</w:t>
            </w:r>
          </w:p>
        </w:tc>
      </w:tr>
      <w:tr w:rsidR="006C08A2" w:rsidRPr="00B759D0" w14:paraId="4BCD0F7B" w14:textId="77777777" w:rsidTr="0008261C">
        <w:tc>
          <w:tcPr>
            <w:tcW w:w="460" w:type="dxa"/>
            <w:hideMark/>
          </w:tcPr>
          <w:p w14:paraId="5144B9C9" w14:textId="77777777" w:rsidR="006C08A2" w:rsidRPr="00B759D0" w:rsidRDefault="006C08A2" w:rsidP="00841A7D">
            <w:pPr>
              <w:spacing w:line="360" w:lineRule="auto"/>
              <w:jc w:val="left"/>
              <w:rPr>
                <w:rFonts w:cs="Times New Roman"/>
                <w:sz w:val="24"/>
              </w:rPr>
            </w:pPr>
            <w:r w:rsidRPr="00B759D0">
              <w:rPr>
                <w:rFonts w:cs="Times New Roman"/>
                <w:sz w:val="24"/>
              </w:rPr>
              <w:t>6</w:t>
            </w:r>
          </w:p>
          <w:p w14:paraId="549839B2" w14:textId="77777777" w:rsidR="006C08A2" w:rsidRPr="00B759D0" w:rsidRDefault="006C08A2" w:rsidP="00841A7D">
            <w:pPr>
              <w:spacing w:line="360" w:lineRule="auto"/>
              <w:jc w:val="left"/>
              <w:rPr>
                <w:rFonts w:cs="Times New Roman"/>
                <w:sz w:val="24"/>
              </w:rPr>
            </w:pPr>
            <w:r w:rsidRPr="00B759D0">
              <w:rPr>
                <w:rFonts w:cs="Times New Roman"/>
                <w:sz w:val="24"/>
              </w:rPr>
              <w:t>7</w:t>
            </w:r>
          </w:p>
          <w:p w14:paraId="6EEA4E28" w14:textId="77777777" w:rsidR="006C08A2" w:rsidRPr="00B759D0" w:rsidRDefault="006C08A2" w:rsidP="00841A7D">
            <w:pPr>
              <w:spacing w:line="360" w:lineRule="auto"/>
              <w:jc w:val="left"/>
              <w:rPr>
                <w:rFonts w:cs="Times New Roman"/>
                <w:sz w:val="24"/>
              </w:rPr>
            </w:pPr>
            <w:r w:rsidRPr="00B759D0">
              <w:rPr>
                <w:rFonts w:cs="Times New Roman"/>
                <w:sz w:val="24"/>
              </w:rPr>
              <w:t>8</w:t>
            </w:r>
          </w:p>
        </w:tc>
        <w:tc>
          <w:tcPr>
            <w:tcW w:w="503" w:type="dxa"/>
            <w:hideMark/>
          </w:tcPr>
          <w:p w14:paraId="2DC55556" w14:textId="77777777" w:rsidR="006C08A2" w:rsidRPr="00B759D0" w:rsidRDefault="006C08A2" w:rsidP="00841A7D">
            <w:pPr>
              <w:spacing w:line="360" w:lineRule="auto"/>
              <w:jc w:val="left"/>
              <w:rPr>
                <w:rFonts w:cs="Times New Roman"/>
                <w:sz w:val="24"/>
              </w:rPr>
            </w:pPr>
            <w:r w:rsidRPr="00B759D0">
              <w:rPr>
                <w:rFonts w:cs="Times New Roman"/>
                <w:sz w:val="24"/>
              </w:rPr>
              <w:t>Sam</w:t>
            </w:r>
          </w:p>
        </w:tc>
        <w:tc>
          <w:tcPr>
            <w:tcW w:w="8053" w:type="dxa"/>
            <w:hideMark/>
          </w:tcPr>
          <w:p w14:paraId="06678103" w14:textId="77777777" w:rsidR="006C08A2" w:rsidRPr="00B759D0" w:rsidRDefault="006C08A2" w:rsidP="00841A7D">
            <w:pPr>
              <w:spacing w:line="360" w:lineRule="auto"/>
              <w:jc w:val="left"/>
              <w:rPr>
                <w:rFonts w:cs="Times New Roman"/>
                <w:sz w:val="24"/>
              </w:rPr>
            </w:pPr>
            <w:r w:rsidRPr="00B759D0">
              <w:rPr>
                <w:rFonts w:cs="Times New Roman"/>
                <w:sz w:val="24"/>
              </w:rPr>
              <w:t>[Pauses] Yeah, you're right, yeah, because once we've discussed it then they could really look at the criteria and think oh I see now what makes the first and second – do you think?</w:t>
            </w:r>
          </w:p>
        </w:tc>
      </w:tr>
      <w:tr w:rsidR="006C08A2" w:rsidRPr="00B759D0" w14:paraId="4DD84C5E" w14:textId="77777777" w:rsidTr="0008261C">
        <w:tc>
          <w:tcPr>
            <w:tcW w:w="460" w:type="dxa"/>
            <w:hideMark/>
          </w:tcPr>
          <w:p w14:paraId="14D7AECA" w14:textId="77777777" w:rsidR="006C08A2" w:rsidRPr="00B759D0" w:rsidRDefault="006C08A2" w:rsidP="00841A7D">
            <w:pPr>
              <w:spacing w:line="360" w:lineRule="auto"/>
              <w:jc w:val="left"/>
              <w:rPr>
                <w:rFonts w:cs="Times New Roman"/>
                <w:sz w:val="24"/>
              </w:rPr>
            </w:pPr>
            <w:r w:rsidRPr="00B759D0">
              <w:rPr>
                <w:rFonts w:cs="Times New Roman"/>
                <w:sz w:val="24"/>
              </w:rPr>
              <w:t>9</w:t>
            </w:r>
          </w:p>
          <w:p w14:paraId="31592B57" w14:textId="77777777" w:rsidR="006C08A2" w:rsidRPr="00B759D0" w:rsidRDefault="006C08A2" w:rsidP="00841A7D">
            <w:pPr>
              <w:spacing w:line="360" w:lineRule="auto"/>
              <w:jc w:val="left"/>
              <w:rPr>
                <w:rFonts w:cs="Times New Roman"/>
                <w:sz w:val="24"/>
              </w:rPr>
            </w:pPr>
            <w:r w:rsidRPr="00B759D0">
              <w:rPr>
                <w:rFonts w:cs="Times New Roman"/>
                <w:sz w:val="24"/>
              </w:rPr>
              <w:t>10</w:t>
            </w:r>
          </w:p>
        </w:tc>
        <w:tc>
          <w:tcPr>
            <w:tcW w:w="503" w:type="dxa"/>
            <w:hideMark/>
          </w:tcPr>
          <w:p w14:paraId="44E065AC"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8053" w:type="dxa"/>
            <w:hideMark/>
          </w:tcPr>
          <w:p w14:paraId="6FA952BF" w14:textId="77777777" w:rsidR="006C08A2" w:rsidRPr="00B759D0" w:rsidRDefault="006C08A2" w:rsidP="00841A7D">
            <w:pPr>
              <w:spacing w:line="360" w:lineRule="auto"/>
              <w:jc w:val="left"/>
              <w:rPr>
                <w:rFonts w:cs="Times New Roman"/>
                <w:color w:val="FF0000"/>
                <w:sz w:val="24"/>
              </w:rPr>
            </w:pPr>
            <w:r w:rsidRPr="00B759D0">
              <w:rPr>
                <w:rFonts w:cs="Times New Roman"/>
                <w:sz w:val="24"/>
              </w:rPr>
              <w:t xml:space="preserve">I guess it’s just something to think about. I think instinctively I would do it the other way round – I don't know about you, [AD]? </w:t>
            </w:r>
          </w:p>
        </w:tc>
      </w:tr>
      <w:tr w:rsidR="006C08A2" w:rsidRPr="00B759D0" w14:paraId="0A8D5523" w14:textId="77777777" w:rsidTr="0008261C">
        <w:tc>
          <w:tcPr>
            <w:tcW w:w="460" w:type="dxa"/>
            <w:hideMark/>
          </w:tcPr>
          <w:p w14:paraId="7DF68A09" w14:textId="77777777" w:rsidR="006C08A2" w:rsidRPr="00B759D0" w:rsidRDefault="006C08A2" w:rsidP="00841A7D">
            <w:pPr>
              <w:spacing w:line="360" w:lineRule="auto"/>
              <w:jc w:val="left"/>
              <w:rPr>
                <w:rFonts w:cs="Times New Roman"/>
                <w:sz w:val="24"/>
              </w:rPr>
            </w:pPr>
            <w:r w:rsidRPr="00B759D0">
              <w:rPr>
                <w:rFonts w:cs="Times New Roman"/>
                <w:sz w:val="24"/>
              </w:rPr>
              <w:t>11</w:t>
            </w:r>
          </w:p>
          <w:p w14:paraId="761A7DF1" w14:textId="77777777" w:rsidR="006C08A2" w:rsidRPr="00B759D0" w:rsidRDefault="006C08A2" w:rsidP="00841A7D">
            <w:pPr>
              <w:spacing w:line="360" w:lineRule="auto"/>
              <w:jc w:val="left"/>
              <w:rPr>
                <w:rFonts w:cs="Times New Roman"/>
                <w:sz w:val="24"/>
              </w:rPr>
            </w:pPr>
            <w:r w:rsidRPr="00B759D0">
              <w:rPr>
                <w:rFonts w:cs="Times New Roman"/>
                <w:sz w:val="24"/>
              </w:rPr>
              <w:t>12</w:t>
            </w:r>
          </w:p>
          <w:p w14:paraId="715E7E5C" w14:textId="77777777" w:rsidR="006C08A2" w:rsidRPr="00B759D0" w:rsidRDefault="006C08A2" w:rsidP="00841A7D">
            <w:pPr>
              <w:spacing w:line="360" w:lineRule="auto"/>
              <w:jc w:val="left"/>
              <w:rPr>
                <w:rFonts w:cs="Times New Roman"/>
                <w:sz w:val="24"/>
              </w:rPr>
            </w:pPr>
            <w:r w:rsidRPr="00B759D0">
              <w:rPr>
                <w:rFonts w:cs="Times New Roman"/>
                <w:sz w:val="24"/>
              </w:rPr>
              <w:t>13</w:t>
            </w:r>
          </w:p>
          <w:p w14:paraId="51227A58" w14:textId="77777777" w:rsidR="006C08A2" w:rsidRPr="00B759D0" w:rsidRDefault="006C08A2" w:rsidP="00841A7D">
            <w:pPr>
              <w:spacing w:line="360" w:lineRule="auto"/>
              <w:jc w:val="left"/>
              <w:rPr>
                <w:rFonts w:cs="Times New Roman"/>
                <w:sz w:val="24"/>
              </w:rPr>
            </w:pPr>
            <w:r w:rsidRPr="00B759D0">
              <w:rPr>
                <w:rFonts w:cs="Times New Roman"/>
                <w:sz w:val="24"/>
              </w:rPr>
              <w:lastRenderedPageBreak/>
              <w:t>14</w:t>
            </w:r>
          </w:p>
          <w:p w14:paraId="32BC639A" w14:textId="77777777" w:rsidR="006C08A2" w:rsidRPr="00B759D0" w:rsidRDefault="006C08A2" w:rsidP="00841A7D">
            <w:pPr>
              <w:spacing w:line="360" w:lineRule="auto"/>
              <w:jc w:val="left"/>
              <w:rPr>
                <w:rFonts w:cs="Times New Roman"/>
                <w:sz w:val="24"/>
              </w:rPr>
            </w:pPr>
            <w:r w:rsidRPr="00B759D0">
              <w:rPr>
                <w:rFonts w:cs="Times New Roman"/>
                <w:sz w:val="24"/>
              </w:rPr>
              <w:t>15</w:t>
            </w:r>
          </w:p>
          <w:p w14:paraId="0045D86D" w14:textId="77777777" w:rsidR="006C08A2" w:rsidRPr="00B759D0" w:rsidRDefault="006C08A2" w:rsidP="00841A7D">
            <w:pPr>
              <w:spacing w:line="360" w:lineRule="auto"/>
              <w:jc w:val="left"/>
              <w:rPr>
                <w:rFonts w:cs="Times New Roman"/>
                <w:sz w:val="24"/>
              </w:rPr>
            </w:pPr>
            <w:r w:rsidRPr="00B759D0">
              <w:rPr>
                <w:rFonts w:cs="Times New Roman"/>
                <w:sz w:val="24"/>
              </w:rPr>
              <w:t>16</w:t>
            </w:r>
          </w:p>
          <w:p w14:paraId="128C7A09" w14:textId="77777777" w:rsidR="006C08A2" w:rsidRPr="00B759D0" w:rsidRDefault="006C08A2" w:rsidP="00841A7D">
            <w:pPr>
              <w:spacing w:line="360" w:lineRule="auto"/>
              <w:jc w:val="left"/>
              <w:rPr>
                <w:rFonts w:cs="Times New Roman"/>
                <w:sz w:val="24"/>
              </w:rPr>
            </w:pPr>
            <w:r w:rsidRPr="00B759D0">
              <w:rPr>
                <w:rFonts w:cs="Times New Roman"/>
                <w:sz w:val="24"/>
              </w:rPr>
              <w:t>17</w:t>
            </w:r>
          </w:p>
        </w:tc>
        <w:tc>
          <w:tcPr>
            <w:tcW w:w="503" w:type="dxa"/>
            <w:hideMark/>
          </w:tcPr>
          <w:p w14:paraId="323253BC" w14:textId="77777777" w:rsidR="006C08A2" w:rsidRPr="00B759D0" w:rsidRDefault="006C08A2" w:rsidP="00841A7D">
            <w:pPr>
              <w:spacing w:line="360" w:lineRule="auto"/>
              <w:jc w:val="left"/>
              <w:rPr>
                <w:rFonts w:cs="Times New Roman"/>
                <w:sz w:val="24"/>
              </w:rPr>
            </w:pPr>
            <w:r w:rsidRPr="00B759D0">
              <w:rPr>
                <w:rFonts w:cs="Times New Roman"/>
                <w:sz w:val="24"/>
              </w:rPr>
              <w:lastRenderedPageBreak/>
              <w:t>AD</w:t>
            </w:r>
          </w:p>
        </w:tc>
        <w:tc>
          <w:tcPr>
            <w:tcW w:w="8053" w:type="dxa"/>
            <w:hideMark/>
          </w:tcPr>
          <w:p w14:paraId="4FC31870" w14:textId="77777777" w:rsidR="006C08A2" w:rsidRPr="00B759D0" w:rsidRDefault="006C08A2" w:rsidP="00841A7D">
            <w:pPr>
              <w:spacing w:line="360" w:lineRule="auto"/>
              <w:jc w:val="left"/>
              <w:rPr>
                <w:rFonts w:cs="Times New Roman"/>
                <w:sz w:val="24"/>
              </w:rPr>
            </w:pPr>
            <w:r w:rsidRPr="00B759D0">
              <w:rPr>
                <w:rFonts w:cs="Times New Roman"/>
                <w:sz w:val="24"/>
              </w:rPr>
              <w:t xml:space="preserve">I thought so at first but then I thought I wonder if it would be helpful to know before you start doing the in-depth analysis what each is an example of, especially for a student, just to have that background knowledge might help them when they – and actually, to be honest, I kind of think they </w:t>
            </w:r>
            <w:r w:rsidRPr="00B759D0">
              <w:rPr>
                <w:rFonts w:cs="Times New Roman"/>
                <w:sz w:val="24"/>
              </w:rPr>
              <w:lastRenderedPageBreak/>
              <w:t xml:space="preserve">might want to know that at the outset.  I mean, I know what you mean, that the analysis and the in-depth reading of it would then enable you to grade it a lot easier, but maybe the students grading it is not the important thing here, maybe it’s the being aware of what’s expected </w:t>
            </w:r>
          </w:p>
        </w:tc>
      </w:tr>
      <w:tr w:rsidR="006C08A2" w:rsidRPr="00B759D0" w14:paraId="0EC7D497" w14:textId="77777777" w:rsidTr="0008261C">
        <w:tc>
          <w:tcPr>
            <w:tcW w:w="460" w:type="dxa"/>
            <w:hideMark/>
          </w:tcPr>
          <w:p w14:paraId="6B07C806" w14:textId="77777777" w:rsidR="006C08A2" w:rsidRPr="00B759D0" w:rsidRDefault="006C08A2" w:rsidP="00841A7D">
            <w:pPr>
              <w:spacing w:line="360" w:lineRule="auto"/>
              <w:jc w:val="left"/>
              <w:rPr>
                <w:rFonts w:cs="Times New Roman"/>
                <w:sz w:val="24"/>
              </w:rPr>
            </w:pPr>
            <w:r w:rsidRPr="00B759D0">
              <w:rPr>
                <w:rFonts w:cs="Times New Roman"/>
                <w:sz w:val="24"/>
              </w:rPr>
              <w:lastRenderedPageBreak/>
              <w:t>18</w:t>
            </w:r>
          </w:p>
          <w:p w14:paraId="249183BF" w14:textId="77777777" w:rsidR="006C08A2" w:rsidRPr="00B759D0" w:rsidRDefault="006C08A2" w:rsidP="00841A7D">
            <w:pPr>
              <w:spacing w:line="360" w:lineRule="auto"/>
              <w:jc w:val="left"/>
              <w:rPr>
                <w:rFonts w:cs="Times New Roman"/>
                <w:color w:val="000000" w:themeColor="text1"/>
                <w:sz w:val="24"/>
              </w:rPr>
            </w:pPr>
            <w:r w:rsidRPr="00B759D0">
              <w:rPr>
                <w:rFonts w:cs="Times New Roman"/>
                <w:color w:val="000000" w:themeColor="text1"/>
                <w:sz w:val="24"/>
              </w:rPr>
              <w:t>19</w:t>
            </w:r>
          </w:p>
          <w:p w14:paraId="7D77E9B6" w14:textId="77777777" w:rsidR="006C08A2" w:rsidRPr="00B759D0" w:rsidRDefault="006C08A2" w:rsidP="00841A7D">
            <w:pPr>
              <w:spacing w:line="360" w:lineRule="auto"/>
              <w:jc w:val="left"/>
              <w:rPr>
                <w:rFonts w:cs="Times New Roman"/>
                <w:sz w:val="24"/>
              </w:rPr>
            </w:pPr>
            <w:r w:rsidRPr="00B759D0">
              <w:rPr>
                <w:rFonts w:cs="Times New Roman"/>
                <w:sz w:val="24"/>
              </w:rPr>
              <w:t>20</w:t>
            </w:r>
          </w:p>
        </w:tc>
        <w:tc>
          <w:tcPr>
            <w:tcW w:w="503" w:type="dxa"/>
            <w:hideMark/>
          </w:tcPr>
          <w:p w14:paraId="7C4DD536" w14:textId="77777777" w:rsidR="006C08A2" w:rsidRPr="00B759D0" w:rsidRDefault="006C08A2" w:rsidP="00841A7D">
            <w:pPr>
              <w:spacing w:line="360" w:lineRule="auto"/>
              <w:jc w:val="left"/>
              <w:rPr>
                <w:rFonts w:cs="Times New Roman"/>
                <w:sz w:val="24"/>
              </w:rPr>
            </w:pPr>
            <w:r w:rsidRPr="00B759D0">
              <w:rPr>
                <w:rFonts w:cs="Times New Roman"/>
                <w:sz w:val="24"/>
              </w:rPr>
              <w:t>Sam</w:t>
            </w:r>
          </w:p>
        </w:tc>
        <w:tc>
          <w:tcPr>
            <w:tcW w:w="8053" w:type="dxa"/>
            <w:hideMark/>
          </w:tcPr>
          <w:p w14:paraId="50F9809D" w14:textId="77777777" w:rsidR="006C08A2" w:rsidRPr="00B759D0" w:rsidRDefault="006C08A2" w:rsidP="00841A7D">
            <w:pPr>
              <w:spacing w:line="360" w:lineRule="auto"/>
              <w:jc w:val="left"/>
              <w:rPr>
                <w:rFonts w:cs="Times New Roman"/>
                <w:sz w:val="24"/>
              </w:rPr>
            </w:pPr>
            <w:r w:rsidRPr="00B759D0">
              <w:rPr>
                <w:rFonts w:cs="Times New Roman"/>
                <w:sz w:val="24"/>
              </w:rPr>
              <w:t>Yeah, I mean, my thoughts are that if I put them into breakout rooms, it might be they could have a chat about it, might be quite fun for them to decide what grade they would give them</w:t>
            </w:r>
          </w:p>
        </w:tc>
      </w:tr>
      <w:tr w:rsidR="006C08A2" w:rsidRPr="00B759D0" w14:paraId="69F30D0E" w14:textId="77777777" w:rsidTr="0008261C">
        <w:tc>
          <w:tcPr>
            <w:tcW w:w="460" w:type="dxa"/>
            <w:hideMark/>
          </w:tcPr>
          <w:p w14:paraId="23335842" w14:textId="77777777" w:rsidR="006C08A2" w:rsidRPr="00B759D0" w:rsidRDefault="006C08A2" w:rsidP="00841A7D">
            <w:pPr>
              <w:spacing w:line="360" w:lineRule="auto"/>
              <w:jc w:val="left"/>
              <w:rPr>
                <w:rFonts w:cs="Times New Roman"/>
                <w:sz w:val="24"/>
              </w:rPr>
            </w:pPr>
            <w:r w:rsidRPr="00B759D0">
              <w:rPr>
                <w:rFonts w:cs="Times New Roman"/>
                <w:sz w:val="24"/>
              </w:rPr>
              <w:t>21</w:t>
            </w:r>
          </w:p>
        </w:tc>
        <w:tc>
          <w:tcPr>
            <w:tcW w:w="503" w:type="dxa"/>
            <w:hideMark/>
          </w:tcPr>
          <w:p w14:paraId="03CDA6AF" w14:textId="77777777" w:rsidR="006C08A2" w:rsidRPr="00B759D0" w:rsidRDefault="006C08A2" w:rsidP="00841A7D">
            <w:pPr>
              <w:spacing w:line="360" w:lineRule="auto"/>
              <w:jc w:val="left"/>
              <w:rPr>
                <w:rFonts w:cs="Times New Roman"/>
                <w:sz w:val="24"/>
              </w:rPr>
            </w:pPr>
            <w:r w:rsidRPr="00B759D0">
              <w:rPr>
                <w:rFonts w:cs="Times New Roman"/>
                <w:sz w:val="24"/>
              </w:rPr>
              <w:t>AD</w:t>
            </w:r>
          </w:p>
        </w:tc>
        <w:tc>
          <w:tcPr>
            <w:tcW w:w="8053" w:type="dxa"/>
            <w:hideMark/>
          </w:tcPr>
          <w:p w14:paraId="03803EBA" w14:textId="77777777" w:rsidR="006C08A2" w:rsidRPr="00B759D0" w:rsidRDefault="006C08A2" w:rsidP="00841A7D">
            <w:pPr>
              <w:spacing w:line="360" w:lineRule="auto"/>
              <w:jc w:val="left"/>
              <w:rPr>
                <w:rFonts w:cs="Times New Roman"/>
                <w:sz w:val="24"/>
              </w:rPr>
            </w:pPr>
            <w:r w:rsidRPr="00B759D0">
              <w:rPr>
                <w:rFonts w:cs="Times New Roman"/>
                <w:sz w:val="24"/>
              </w:rPr>
              <w:t>Yeah, that is a nice task I think</w:t>
            </w:r>
          </w:p>
        </w:tc>
      </w:tr>
      <w:tr w:rsidR="006C08A2" w:rsidRPr="00B759D0" w14:paraId="06164597" w14:textId="77777777" w:rsidTr="0008261C">
        <w:tc>
          <w:tcPr>
            <w:tcW w:w="460" w:type="dxa"/>
            <w:hideMark/>
          </w:tcPr>
          <w:p w14:paraId="2C48C7BA" w14:textId="77777777" w:rsidR="006C08A2" w:rsidRPr="00B759D0" w:rsidRDefault="006C08A2" w:rsidP="00841A7D">
            <w:pPr>
              <w:spacing w:line="360" w:lineRule="auto"/>
              <w:jc w:val="left"/>
              <w:rPr>
                <w:rFonts w:cs="Times New Roman"/>
                <w:sz w:val="24"/>
              </w:rPr>
            </w:pPr>
            <w:r w:rsidRPr="00B759D0">
              <w:rPr>
                <w:rFonts w:cs="Times New Roman"/>
                <w:sz w:val="24"/>
              </w:rPr>
              <w:t>22</w:t>
            </w:r>
          </w:p>
          <w:p w14:paraId="7F22E4C9" w14:textId="77777777" w:rsidR="006C08A2" w:rsidRPr="00B759D0" w:rsidRDefault="006C08A2" w:rsidP="00841A7D">
            <w:pPr>
              <w:spacing w:line="360" w:lineRule="auto"/>
              <w:jc w:val="left"/>
              <w:rPr>
                <w:rFonts w:cs="Times New Roman"/>
                <w:sz w:val="24"/>
              </w:rPr>
            </w:pPr>
            <w:r w:rsidRPr="00B759D0">
              <w:rPr>
                <w:rFonts w:cs="Times New Roman"/>
                <w:sz w:val="24"/>
              </w:rPr>
              <w:t>23</w:t>
            </w:r>
          </w:p>
          <w:p w14:paraId="78AFF864" w14:textId="77777777" w:rsidR="006C08A2" w:rsidRPr="00B759D0" w:rsidRDefault="006C08A2" w:rsidP="00841A7D">
            <w:pPr>
              <w:spacing w:line="360" w:lineRule="auto"/>
              <w:jc w:val="left"/>
              <w:rPr>
                <w:rFonts w:cs="Times New Roman"/>
                <w:sz w:val="24"/>
              </w:rPr>
            </w:pPr>
            <w:r w:rsidRPr="00B759D0">
              <w:rPr>
                <w:rFonts w:cs="Times New Roman"/>
                <w:sz w:val="24"/>
              </w:rPr>
              <w:t>24</w:t>
            </w:r>
          </w:p>
          <w:p w14:paraId="11D8FA75" w14:textId="77777777" w:rsidR="006C08A2" w:rsidRPr="00B759D0" w:rsidRDefault="006C08A2" w:rsidP="00841A7D">
            <w:pPr>
              <w:spacing w:line="360" w:lineRule="auto"/>
              <w:jc w:val="left"/>
              <w:rPr>
                <w:rFonts w:cs="Times New Roman"/>
                <w:sz w:val="24"/>
              </w:rPr>
            </w:pPr>
            <w:r w:rsidRPr="00B759D0">
              <w:rPr>
                <w:rFonts w:cs="Times New Roman"/>
                <w:sz w:val="24"/>
              </w:rPr>
              <w:t>25</w:t>
            </w:r>
          </w:p>
        </w:tc>
        <w:tc>
          <w:tcPr>
            <w:tcW w:w="503" w:type="dxa"/>
            <w:hideMark/>
          </w:tcPr>
          <w:p w14:paraId="4C0D2428" w14:textId="77777777" w:rsidR="006C08A2" w:rsidRPr="00B759D0" w:rsidRDefault="006C08A2" w:rsidP="00841A7D">
            <w:pPr>
              <w:spacing w:line="360" w:lineRule="auto"/>
              <w:jc w:val="left"/>
              <w:rPr>
                <w:rFonts w:cs="Times New Roman"/>
                <w:sz w:val="24"/>
              </w:rPr>
            </w:pPr>
            <w:r w:rsidRPr="00B759D0">
              <w:rPr>
                <w:rFonts w:cs="Times New Roman"/>
                <w:sz w:val="24"/>
              </w:rPr>
              <w:t>Sam</w:t>
            </w:r>
          </w:p>
        </w:tc>
        <w:tc>
          <w:tcPr>
            <w:tcW w:w="8053" w:type="dxa"/>
            <w:hideMark/>
          </w:tcPr>
          <w:p w14:paraId="2F310194" w14:textId="77777777" w:rsidR="006C08A2" w:rsidRPr="00B759D0" w:rsidRDefault="006C08A2" w:rsidP="00841A7D">
            <w:pPr>
              <w:spacing w:line="360" w:lineRule="auto"/>
              <w:jc w:val="left"/>
              <w:rPr>
                <w:rFonts w:cs="Times New Roman"/>
                <w:sz w:val="24"/>
              </w:rPr>
            </w:pPr>
            <w:r w:rsidRPr="00B759D0">
              <w:rPr>
                <w:rFonts w:cs="Times New Roman"/>
                <w:sz w:val="24"/>
              </w:rPr>
              <w:t>Because it’s sort of straightforward in a sense, they don't have to write anything, they could just decide oh is it a First or is it, you know, where would I put it on that scale – and then they could have a little chat about why and then we could have a more in-depth chat when they come back</w:t>
            </w:r>
          </w:p>
        </w:tc>
      </w:tr>
      <w:tr w:rsidR="006C08A2" w:rsidRPr="00B759D0" w14:paraId="7FAA319A" w14:textId="77777777" w:rsidTr="0008261C">
        <w:tc>
          <w:tcPr>
            <w:tcW w:w="460" w:type="dxa"/>
            <w:hideMark/>
          </w:tcPr>
          <w:p w14:paraId="1F785586" w14:textId="77777777" w:rsidR="006C08A2" w:rsidRPr="00B759D0" w:rsidRDefault="006C08A2" w:rsidP="00841A7D">
            <w:pPr>
              <w:spacing w:line="360" w:lineRule="auto"/>
              <w:jc w:val="left"/>
              <w:rPr>
                <w:rFonts w:cs="Times New Roman"/>
                <w:sz w:val="24"/>
              </w:rPr>
            </w:pPr>
            <w:r w:rsidRPr="00B759D0">
              <w:rPr>
                <w:rFonts w:cs="Times New Roman"/>
                <w:sz w:val="24"/>
              </w:rPr>
              <w:t>26</w:t>
            </w:r>
          </w:p>
          <w:p w14:paraId="6675BAD6" w14:textId="77777777" w:rsidR="006C08A2" w:rsidRPr="00B759D0" w:rsidRDefault="006C08A2" w:rsidP="00841A7D">
            <w:pPr>
              <w:spacing w:line="360" w:lineRule="auto"/>
              <w:jc w:val="left"/>
              <w:rPr>
                <w:rFonts w:cs="Times New Roman"/>
                <w:sz w:val="24"/>
              </w:rPr>
            </w:pPr>
            <w:r w:rsidRPr="00B759D0">
              <w:rPr>
                <w:rFonts w:cs="Times New Roman"/>
                <w:sz w:val="24"/>
              </w:rPr>
              <w:t>27</w:t>
            </w:r>
          </w:p>
          <w:p w14:paraId="4D8D96AF" w14:textId="77777777" w:rsidR="006C08A2" w:rsidRPr="00B759D0" w:rsidRDefault="006C08A2" w:rsidP="00841A7D">
            <w:pPr>
              <w:spacing w:line="360" w:lineRule="auto"/>
              <w:jc w:val="left"/>
              <w:rPr>
                <w:rFonts w:cs="Times New Roman"/>
                <w:sz w:val="24"/>
              </w:rPr>
            </w:pPr>
            <w:r w:rsidRPr="00B759D0">
              <w:rPr>
                <w:rFonts w:cs="Times New Roman"/>
                <w:sz w:val="24"/>
              </w:rPr>
              <w:t>28</w:t>
            </w:r>
          </w:p>
          <w:p w14:paraId="4BDA837A" w14:textId="77777777" w:rsidR="006C08A2" w:rsidRPr="00B759D0" w:rsidRDefault="006C08A2" w:rsidP="00841A7D">
            <w:pPr>
              <w:spacing w:line="360" w:lineRule="auto"/>
              <w:jc w:val="left"/>
              <w:rPr>
                <w:rFonts w:cs="Times New Roman"/>
                <w:sz w:val="24"/>
              </w:rPr>
            </w:pPr>
            <w:r w:rsidRPr="00B759D0">
              <w:rPr>
                <w:rFonts w:cs="Times New Roman"/>
                <w:sz w:val="24"/>
              </w:rPr>
              <w:t>29</w:t>
            </w:r>
          </w:p>
          <w:p w14:paraId="18F2B93D" w14:textId="77777777" w:rsidR="006C08A2" w:rsidRPr="00B759D0" w:rsidRDefault="006C08A2" w:rsidP="00841A7D">
            <w:pPr>
              <w:spacing w:line="360" w:lineRule="auto"/>
              <w:jc w:val="left"/>
              <w:rPr>
                <w:rFonts w:cs="Times New Roman"/>
                <w:sz w:val="24"/>
              </w:rPr>
            </w:pPr>
            <w:r w:rsidRPr="00B759D0">
              <w:rPr>
                <w:rFonts w:cs="Times New Roman"/>
                <w:sz w:val="24"/>
              </w:rPr>
              <w:t>30</w:t>
            </w:r>
          </w:p>
        </w:tc>
        <w:tc>
          <w:tcPr>
            <w:tcW w:w="503" w:type="dxa"/>
            <w:hideMark/>
          </w:tcPr>
          <w:p w14:paraId="32B90B70" w14:textId="77777777" w:rsidR="006C08A2" w:rsidRPr="00B759D0" w:rsidRDefault="006C08A2" w:rsidP="00841A7D">
            <w:pPr>
              <w:spacing w:line="360" w:lineRule="auto"/>
              <w:jc w:val="left"/>
              <w:rPr>
                <w:rFonts w:cs="Times New Roman"/>
                <w:sz w:val="24"/>
              </w:rPr>
            </w:pPr>
            <w:r w:rsidRPr="00B759D0">
              <w:rPr>
                <w:rFonts w:cs="Times New Roman"/>
                <w:sz w:val="24"/>
              </w:rPr>
              <w:t>LS</w:t>
            </w:r>
          </w:p>
        </w:tc>
        <w:tc>
          <w:tcPr>
            <w:tcW w:w="8053" w:type="dxa"/>
            <w:hideMark/>
          </w:tcPr>
          <w:p w14:paraId="7FF89CF4" w14:textId="77777777" w:rsidR="006C08A2" w:rsidRPr="00B759D0" w:rsidRDefault="006C08A2" w:rsidP="00841A7D">
            <w:pPr>
              <w:spacing w:line="360" w:lineRule="auto"/>
              <w:jc w:val="left"/>
              <w:rPr>
                <w:rFonts w:cs="Times New Roman"/>
                <w:sz w:val="24"/>
              </w:rPr>
            </w:pPr>
            <w:r w:rsidRPr="00B759D0">
              <w:rPr>
                <w:rFonts w:cs="Times New Roman"/>
                <w:sz w:val="24"/>
              </w:rPr>
              <w:t>Actually that might be useful because one thing I picked out in discussion, I noticed that one of your questions was do the extracts demonstrate a critical awareness and I thought ooh what does a critical awareness mean in this context and maybe if they'd met it in the discussion of the criteria, that will come up before they then look at what it actually looks like with examples</w:t>
            </w:r>
          </w:p>
        </w:tc>
      </w:tr>
    </w:tbl>
    <w:p w14:paraId="3F3DCF9D" w14:textId="77777777" w:rsidR="006C08A2" w:rsidRPr="00B759D0" w:rsidRDefault="006C08A2" w:rsidP="00841A7D">
      <w:pPr>
        <w:spacing w:line="360" w:lineRule="auto"/>
        <w:jc w:val="left"/>
        <w:rPr>
          <w:rFonts w:cs="Times New Roman"/>
          <w:sz w:val="24"/>
        </w:rPr>
      </w:pPr>
      <w:r w:rsidRPr="00B759D0">
        <w:rPr>
          <w:rFonts w:cs="Times New Roman"/>
          <w:sz w:val="24"/>
        </w:rPr>
        <w:t>(6)</w:t>
      </w:r>
    </w:p>
    <w:p w14:paraId="41529ED0" w14:textId="77777777" w:rsidR="006C08A2" w:rsidRPr="00B759D0" w:rsidRDefault="006C08A2" w:rsidP="00841A7D">
      <w:pPr>
        <w:spacing w:line="360" w:lineRule="auto"/>
        <w:jc w:val="left"/>
        <w:rPr>
          <w:rFonts w:cs="Times New Roman"/>
          <w:color w:val="000000" w:themeColor="text1"/>
          <w:sz w:val="24"/>
        </w:rPr>
      </w:pPr>
      <w:r w:rsidRPr="00B759D0">
        <w:rPr>
          <w:rFonts w:cs="Times New Roman"/>
          <w:color w:val="000000" w:themeColor="text1"/>
          <w:sz w:val="24"/>
        </w:rPr>
        <w:t xml:space="preserve">In this extract, talk is reciprocal: participants </w:t>
      </w:r>
      <w:r w:rsidRPr="00B759D0">
        <w:rPr>
          <w:rFonts w:cs="Times New Roman"/>
          <w:sz w:val="24"/>
        </w:rPr>
        <w:t xml:space="preserve">listen to each other, share ideas (e.g., 2-4; 5; 11-17), ask questions (1, 5, 10), and elicit (5, 10) and consider (6-8; 11-17) alternative viewpoints. Talk is also deliberative as participants discuss alternative actions and work towards a reasoned decision (26-30). Talk is culminative – Sam and AD build on their own and each other’s contributions, chaining ideas about the benefits of assigning a grade first. LS adds the final </w:t>
      </w:r>
      <w:r w:rsidRPr="00B759D0">
        <w:rPr>
          <w:rFonts w:cs="Times New Roman"/>
          <w:color w:val="000000" w:themeColor="text1"/>
          <w:sz w:val="24"/>
        </w:rPr>
        <w:t xml:space="preserve">coherent and satisfying link (29-31) to arrive at a justified and satisfying (“actually that might be useful” 26) decision. This extract shows Sam taking an equal part in the discussion and justifying her plan, signifying confidence and knowledge, and shows LS and AD engaging in genuine dialogue with Sam and </w:t>
      </w:r>
      <w:r w:rsidRPr="00B759D0">
        <w:rPr>
          <w:rFonts w:cs="Times New Roman"/>
          <w:color w:val="000000" w:themeColor="text1"/>
          <w:sz w:val="24"/>
        </w:rPr>
        <w:lastRenderedPageBreak/>
        <w:t>each other (e.g., 9-18), rather than simply giving advice and suggestions to SL. Triadic interaction thus promotes dialogic talk.</w:t>
      </w:r>
    </w:p>
    <w:p w14:paraId="19A3772B" w14:textId="77777777" w:rsidR="006C08A2" w:rsidRPr="00B759D0" w:rsidRDefault="006C08A2" w:rsidP="00841A7D">
      <w:pPr>
        <w:spacing w:line="360" w:lineRule="auto"/>
        <w:jc w:val="left"/>
        <w:rPr>
          <w:rFonts w:cs="Times New Roman"/>
          <w:color w:val="000000" w:themeColor="text1"/>
          <w:sz w:val="24"/>
        </w:rPr>
      </w:pPr>
      <w:r w:rsidRPr="00B759D0">
        <w:rPr>
          <w:rFonts w:cs="Times New Roman"/>
          <w:color w:val="000000" w:themeColor="text1"/>
          <w:sz w:val="24"/>
        </w:rPr>
        <w:t xml:space="preserve">Finally, talk is purposeful i.e., structured with a specific learning goal (creating learning materials for SL’s students). Although the goal is set by the pre-determined focus and structure of the meetings and tasks, it is achieved through talk. LS also guides the talk and keeps talk focused on the goal. For example, she proposes actions: </w:t>
      </w:r>
    </w:p>
    <w:p w14:paraId="2F1F6BC9" w14:textId="77777777" w:rsidR="006C08A2" w:rsidRPr="00B759D0" w:rsidRDefault="006C08A2" w:rsidP="00841A7D">
      <w:pPr>
        <w:spacing w:line="360" w:lineRule="auto"/>
        <w:ind w:left="720"/>
        <w:jc w:val="left"/>
        <w:rPr>
          <w:rFonts w:cs="Times New Roman"/>
          <w:color w:val="000000" w:themeColor="text1"/>
          <w:sz w:val="24"/>
        </w:rPr>
      </w:pPr>
      <w:r w:rsidRPr="00B759D0">
        <w:rPr>
          <w:rFonts w:cs="Times New Roman"/>
          <w:sz w:val="24"/>
        </w:rPr>
        <w:t xml:space="preserve">So shall we have a quick look at the discussion questions and have a chat about your thinking there?’ (6) </w:t>
      </w:r>
    </w:p>
    <w:p w14:paraId="6376DC94" w14:textId="77777777" w:rsidR="006C08A2" w:rsidRPr="00B759D0" w:rsidRDefault="006C08A2" w:rsidP="00841A7D">
      <w:pPr>
        <w:spacing w:line="360" w:lineRule="auto"/>
        <w:jc w:val="left"/>
        <w:rPr>
          <w:rFonts w:cs="Times New Roman"/>
          <w:color w:val="000000" w:themeColor="text1"/>
          <w:sz w:val="24"/>
        </w:rPr>
      </w:pPr>
      <w:r w:rsidRPr="00B759D0">
        <w:rPr>
          <w:rFonts w:cs="Times New Roman"/>
          <w:color w:val="000000" w:themeColor="text1"/>
          <w:sz w:val="24"/>
        </w:rPr>
        <w:t>She is also directive, reminding participants of pre-agreed tasks between meetings and further action points:</w:t>
      </w:r>
    </w:p>
    <w:p w14:paraId="61F8FC72" w14:textId="77777777" w:rsidR="006C08A2" w:rsidRPr="00B759D0" w:rsidRDefault="006C08A2" w:rsidP="00841A7D">
      <w:pPr>
        <w:spacing w:line="360" w:lineRule="auto"/>
        <w:ind w:left="720"/>
        <w:jc w:val="left"/>
        <w:rPr>
          <w:rFonts w:cs="Times New Roman"/>
          <w:sz w:val="24"/>
        </w:rPr>
      </w:pPr>
      <w:r w:rsidRPr="00B759D0">
        <w:rPr>
          <w:rFonts w:cs="Times New Roman"/>
          <w:sz w:val="24"/>
        </w:rPr>
        <w:t>Do you [SL] want to go away and have a go at designing a task, an exploration task and taking the triangle and thinking about what you would say for each of the points? (4)</w:t>
      </w:r>
    </w:p>
    <w:p w14:paraId="27F983B9" w14:textId="77777777" w:rsidR="006C08A2" w:rsidRPr="00B759D0" w:rsidRDefault="006C08A2" w:rsidP="00841A7D">
      <w:pPr>
        <w:spacing w:line="360" w:lineRule="auto"/>
        <w:ind w:left="720"/>
        <w:jc w:val="left"/>
        <w:rPr>
          <w:rFonts w:cs="Times New Roman"/>
          <w:sz w:val="24"/>
        </w:rPr>
      </w:pPr>
      <w:r w:rsidRPr="00B759D0">
        <w:rPr>
          <w:rFonts w:cs="Times New Roman"/>
          <w:sz w:val="24"/>
        </w:rPr>
        <w:t>And then when you’ve done that, we’ll meet again and we can help you refine it or just give some suggestions or how does that sound? (6)</w:t>
      </w:r>
    </w:p>
    <w:p w14:paraId="2A3F0FAC" w14:textId="77777777" w:rsidR="006C08A2" w:rsidRPr="00B759D0" w:rsidRDefault="006C08A2" w:rsidP="00841A7D">
      <w:pPr>
        <w:spacing w:line="360" w:lineRule="auto"/>
        <w:jc w:val="left"/>
        <w:rPr>
          <w:rFonts w:cs="Times New Roman"/>
          <w:color w:val="000000" w:themeColor="text1"/>
          <w:sz w:val="24"/>
        </w:rPr>
      </w:pPr>
      <w:r w:rsidRPr="00B759D0">
        <w:rPr>
          <w:rFonts w:cs="Times New Roman"/>
          <w:color w:val="000000" w:themeColor="text1"/>
          <w:sz w:val="24"/>
        </w:rPr>
        <w:t>LS summarises and guides the discussion:</w:t>
      </w:r>
    </w:p>
    <w:p w14:paraId="50490D8E" w14:textId="77777777" w:rsidR="006C08A2" w:rsidRPr="00B759D0" w:rsidRDefault="006C08A2" w:rsidP="00841A7D">
      <w:pPr>
        <w:spacing w:line="360" w:lineRule="auto"/>
        <w:ind w:left="720"/>
        <w:jc w:val="left"/>
        <w:rPr>
          <w:rFonts w:cs="Times New Roman"/>
          <w:sz w:val="24"/>
        </w:rPr>
      </w:pPr>
      <w:r w:rsidRPr="00B759D0">
        <w:rPr>
          <w:rFonts w:cs="Times New Roman"/>
          <w:sz w:val="24"/>
        </w:rPr>
        <w:t>So, I think then from what I've picked up from what you’ve been saying is that you really feel that they need help with structuring this assignment and that you somehow feel that by giving them the headings you're constraining them a little bit and they're writing to these headings, rather than producing a piece of writing themselves – is that fair? (4)</w:t>
      </w:r>
    </w:p>
    <w:p w14:paraId="1D99D2C9" w14:textId="77777777" w:rsidR="006C08A2" w:rsidRPr="00B759D0" w:rsidRDefault="006C08A2" w:rsidP="00841A7D">
      <w:pPr>
        <w:spacing w:line="360" w:lineRule="auto"/>
        <w:jc w:val="left"/>
        <w:rPr>
          <w:rFonts w:cs="Times New Roman"/>
          <w:sz w:val="24"/>
          <w:u w:val="single"/>
        </w:rPr>
      </w:pPr>
      <w:r w:rsidRPr="00B759D0">
        <w:rPr>
          <w:rFonts w:cs="Times New Roman"/>
          <w:sz w:val="24"/>
        </w:rPr>
        <w:t xml:space="preserve">and elicits a summary from Sam which serves to check shared understanding: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
        <w:gridCol w:w="643"/>
        <w:gridCol w:w="7405"/>
      </w:tblGrid>
      <w:tr w:rsidR="006C08A2" w:rsidRPr="00B759D0" w14:paraId="326B12ED" w14:textId="77777777" w:rsidTr="0008261C">
        <w:tc>
          <w:tcPr>
            <w:tcW w:w="440" w:type="dxa"/>
            <w:hideMark/>
          </w:tcPr>
          <w:p w14:paraId="31382676" w14:textId="77777777" w:rsidR="006C08A2" w:rsidRPr="00B759D0" w:rsidRDefault="006C08A2" w:rsidP="00841A7D">
            <w:pPr>
              <w:spacing w:line="360" w:lineRule="auto"/>
              <w:jc w:val="left"/>
              <w:rPr>
                <w:rFonts w:cs="Times New Roman"/>
                <w:sz w:val="24"/>
              </w:rPr>
            </w:pPr>
            <w:r w:rsidRPr="00B759D0">
              <w:rPr>
                <w:rFonts w:cs="Times New Roman"/>
                <w:sz w:val="24"/>
              </w:rPr>
              <w:t>5</w:t>
            </w:r>
          </w:p>
          <w:p w14:paraId="5228549C" w14:textId="77777777" w:rsidR="006C08A2" w:rsidRPr="00B759D0" w:rsidRDefault="006C08A2" w:rsidP="00841A7D">
            <w:pPr>
              <w:spacing w:line="360" w:lineRule="auto"/>
              <w:jc w:val="left"/>
              <w:rPr>
                <w:rFonts w:cs="Times New Roman"/>
                <w:sz w:val="24"/>
              </w:rPr>
            </w:pPr>
            <w:r w:rsidRPr="00B759D0">
              <w:rPr>
                <w:rFonts w:cs="Times New Roman"/>
                <w:sz w:val="24"/>
              </w:rPr>
              <w:t>6</w:t>
            </w:r>
          </w:p>
          <w:p w14:paraId="7042B30B" w14:textId="77777777" w:rsidR="006C08A2" w:rsidRPr="00B759D0" w:rsidRDefault="006C08A2" w:rsidP="00841A7D">
            <w:pPr>
              <w:spacing w:line="360" w:lineRule="auto"/>
              <w:jc w:val="left"/>
              <w:rPr>
                <w:rFonts w:cs="Times New Roman"/>
                <w:sz w:val="24"/>
              </w:rPr>
            </w:pPr>
            <w:r w:rsidRPr="00B759D0">
              <w:rPr>
                <w:rFonts w:cs="Times New Roman"/>
                <w:sz w:val="24"/>
              </w:rPr>
              <w:t>7</w:t>
            </w:r>
          </w:p>
          <w:p w14:paraId="49DBAD0C" w14:textId="77777777" w:rsidR="006C08A2" w:rsidRPr="00B759D0" w:rsidRDefault="006C08A2" w:rsidP="00841A7D">
            <w:pPr>
              <w:spacing w:line="360" w:lineRule="auto"/>
              <w:jc w:val="left"/>
              <w:rPr>
                <w:rFonts w:cs="Times New Roman"/>
                <w:sz w:val="24"/>
              </w:rPr>
            </w:pPr>
            <w:r w:rsidRPr="00B759D0">
              <w:rPr>
                <w:rFonts w:cs="Times New Roman"/>
                <w:sz w:val="24"/>
              </w:rPr>
              <w:t>8</w:t>
            </w:r>
          </w:p>
          <w:p w14:paraId="0B8A8F89" w14:textId="77777777" w:rsidR="006C08A2" w:rsidRPr="00B759D0" w:rsidRDefault="006C08A2" w:rsidP="00841A7D">
            <w:pPr>
              <w:spacing w:line="360" w:lineRule="auto"/>
              <w:jc w:val="left"/>
              <w:rPr>
                <w:rFonts w:cs="Times New Roman"/>
                <w:sz w:val="24"/>
              </w:rPr>
            </w:pPr>
            <w:r w:rsidRPr="00B759D0">
              <w:rPr>
                <w:rFonts w:cs="Times New Roman"/>
                <w:sz w:val="24"/>
              </w:rPr>
              <w:t>9</w:t>
            </w:r>
          </w:p>
          <w:p w14:paraId="5DB13D01" w14:textId="77777777" w:rsidR="006C08A2" w:rsidRPr="00B759D0" w:rsidRDefault="006C08A2" w:rsidP="00841A7D">
            <w:pPr>
              <w:spacing w:line="360" w:lineRule="auto"/>
              <w:jc w:val="left"/>
              <w:rPr>
                <w:rFonts w:cs="Times New Roman"/>
                <w:sz w:val="24"/>
              </w:rPr>
            </w:pPr>
            <w:r w:rsidRPr="00B759D0">
              <w:rPr>
                <w:rFonts w:cs="Times New Roman"/>
                <w:sz w:val="24"/>
              </w:rPr>
              <w:t>10</w:t>
            </w:r>
          </w:p>
        </w:tc>
        <w:tc>
          <w:tcPr>
            <w:tcW w:w="599" w:type="dxa"/>
            <w:hideMark/>
          </w:tcPr>
          <w:p w14:paraId="737E3F14" w14:textId="77777777" w:rsidR="006C08A2" w:rsidRPr="00B759D0" w:rsidRDefault="006C08A2" w:rsidP="00841A7D">
            <w:pPr>
              <w:spacing w:line="360" w:lineRule="auto"/>
              <w:jc w:val="left"/>
              <w:rPr>
                <w:rFonts w:cs="Times New Roman"/>
                <w:sz w:val="24"/>
              </w:rPr>
            </w:pPr>
            <w:r w:rsidRPr="00B759D0">
              <w:rPr>
                <w:rFonts w:cs="Times New Roman"/>
                <w:sz w:val="24"/>
              </w:rPr>
              <w:t>Sam</w:t>
            </w:r>
          </w:p>
        </w:tc>
        <w:tc>
          <w:tcPr>
            <w:tcW w:w="7987" w:type="dxa"/>
            <w:hideMark/>
          </w:tcPr>
          <w:p w14:paraId="4D46DBCD" w14:textId="77777777" w:rsidR="006C08A2" w:rsidRPr="00B759D0" w:rsidRDefault="006C08A2" w:rsidP="00841A7D">
            <w:pPr>
              <w:spacing w:line="360" w:lineRule="auto"/>
              <w:jc w:val="left"/>
              <w:rPr>
                <w:rFonts w:cs="Times New Roman"/>
                <w:sz w:val="24"/>
              </w:rPr>
            </w:pPr>
            <w:r w:rsidRPr="00B759D0">
              <w:rPr>
                <w:rFonts w:cs="Times New Roman"/>
                <w:sz w:val="24"/>
              </w:rPr>
              <w:t>Firstly I want to help them to be able to approach writing a 4,000 word report from never having done anything like that before, so that was one thing that we talked about and then you were suggesting to look at the exemplars and to help them find ways of helping them to write this.  And then the other element was that we want them to be more explorative and creative in their approach so they're not just tick boxing (4)</w:t>
            </w:r>
          </w:p>
        </w:tc>
      </w:tr>
    </w:tbl>
    <w:p w14:paraId="50C1E490" w14:textId="77777777" w:rsidR="006C08A2" w:rsidRPr="00B759D0" w:rsidRDefault="006C08A2" w:rsidP="00841A7D">
      <w:pPr>
        <w:spacing w:line="360" w:lineRule="auto"/>
        <w:jc w:val="left"/>
        <w:rPr>
          <w:rFonts w:cs="Times New Roman"/>
          <w:sz w:val="24"/>
        </w:rPr>
      </w:pPr>
      <w:r w:rsidRPr="00B759D0">
        <w:rPr>
          <w:rFonts w:cs="Times New Roman"/>
          <w:sz w:val="24"/>
        </w:rPr>
        <w:t>To summarise, our findings first reveal the important shift in Sam’s practice from a transmissive approach in addressing students’ writing development, to a more genre-</w:t>
      </w:r>
      <w:r w:rsidRPr="00B759D0">
        <w:rPr>
          <w:rFonts w:cs="Times New Roman"/>
          <w:sz w:val="24"/>
        </w:rPr>
        <w:lastRenderedPageBreak/>
        <w:t>oriented and pedagogical practice. Second, we illustrate how the triadic and dialogic nature of the collaboration was instrumental in facilitating this shift.</w:t>
      </w:r>
    </w:p>
    <w:p w14:paraId="75DB9A77" w14:textId="3E6FDA1A" w:rsidR="004F4724" w:rsidRPr="00B759D0" w:rsidRDefault="004F4724" w:rsidP="00841A7D">
      <w:pPr>
        <w:pStyle w:val="Heading1"/>
        <w:jc w:val="left"/>
      </w:pPr>
      <w:r w:rsidRPr="00B759D0">
        <w:t>Reflection and discussion</w:t>
      </w:r>
    </w:p>
    <w:p w14:paraId="28B66965" w14:textId="42075BC6" w:rsidR="004F4724" w:rsidRPr="00B759D0" w:rsidRDefault="004F4724" w:rsidP="00841A7D">
      <w:pPr>
        <w:spacing w:line="360" w:lineRule="auto"/>
        <w:jc w:val="left"/>
        <w:rPr>
          <w:rFonts w:cs="Times New Roman"/>
          <w:sz w:val="24"/>
        </w:rPr>
      </w:pPr>
      <w:r w:rsidRPr="00B759D0">
        <w:rPr>
          <w:rFonts w:eastAsia="Times New Roman" w:cs="Times New Roman"/>
          <w:sz w:val="24"/>
        </w:rPr>
        <w:t xml:space="preserve">Murray (2022, p. 3) asserts that decisions around how to implement writing development in universities should be </w:t>
      </w:r>
      <w:r w:rsidRPr="00B759D0">
        <w:rPr>
          <w:rFonts w:cs="Times New Roman"/>
          <w:sz w:val="24"/>
        </w:rPr>
        <w:t xml:space="preserve">informed by “a clear theoretical and pedagogical rationale and an appreciation of the implications for human resources and for staff professional development.” </w:t>
      </w:r>
      <w:r w:rsidRPr="00B759D0">
        <w:rPr>
          <w:rFonts w:cs="Times New Roman"/>
          <w:color w:val="000000" w:themeColor="text1"/>
          <w:sz w:val="24"/>
        </w:rPr>
        <w:t>Our results speak to both these agendas</w:t>
      </w:r>
      <w:r w:rsidRPr="00B759D0">
        <w:rPr>
          <w:rFonts w:cs="Times New Roman"/>
          <w:sz w:val="24"/>
        </w:rPr>
        <w:t xml:space="preserve">. From a theoretical and pedagogic perspective, our framing of disciplinary writing (Hyland, 2004) as genre knowledge (Tardy, 2009) </w:t>
      </w:r>
      <w:r w:rsidR="0045192B" w:rsidRPr="00B759D0">
        <w:rPr>
          <w:rFonts w:cs="Times New Roman"/>
          <w:sz w:val="24"/>
        </w:rPr>
        <w:t>was</w:t>
      </w:r>
      <w:r w:rsidRPr="00B759D0">
        <w:rPr>
          <w:rFonts w:cs="Times New Roman"/>
          <w:sz w:val="24"/>
        </w:rPr>
        <w:t xml:space="preserve"> a useful conceptualisation for both our participant and her students, fostering pedagogical knowledge of writing (Worden, 2018). From the start, our participant recognised the potential for variation and creativity within genres (Tardy, 2016) and the disciplinary values that shape them (Gimenez, 2012). </w:t>
      </w:r>
      <w:r w:rsidR="0045192B" w:rsidRPr="00B759D0">
        <w:rPr>
          <w:rFonts w:cs="Times New Roman"/>
          <w:sz w:val="24"/>
        </w:rPr>
        <w:t xml:space="preserve">However, </w:t>
      </w:r>
      <w:r w:rsidRPr="00B759D0">
        <w:rPr>
          <w:rFonts w:cs="Times New Roman"/>
          <w:sz w:val="24"/>
        </w:rPr>
        <w:t xml:space="preserve">despite evidencing a commitment to developing her own knowledge and teaching practice (cf. </w:t>
      </w:r>
      <w:r w:rsidR="009B1AC9" w:rsidRPr="00B759D0">
        <w:rPr>
          <w:rFonts w:cs="Times New Roman"/>
          <w:sz w:val="24"/>
        </w:rPr>
        <w:t>McGrath et al., 2029</w:t>
      </w:r>
      <w:r w:rsidRPr="00B759D0">
        <w:rPr>
          <w:rFonts w:cs="Times New Roman"/>
          <w:sz w:val="24"/>
        </w:rPr>
        <w:t xml:space="preserve">; Tuck, 2018), she lacked a theoretical grounding and metalanguage to conceptualise writing and identify teaching aims, and the pedagogical knowledge to translate those aims into learning tasks. Over the course of the collaboration, this shifted as Sam co-created tasks drawing on a genre perspective (Swales, 1990). </w:t>
      </w:r>
    </w:p>
    <w:p w14:paraId="78F60953" w14:textId="28B0A35E" w:rsidR="004F4724" w:rsidRPr="00B759D0" w:rsidRDefault="004F4724" w:rsidP="00841A7D">
      <w:pPr>
        <w:spacing w:line="360" w:lineRule="auto"/>
        <w:jc w:val="left"/>
        <w:rPr>
          <w:rFonts w:cs="Times New Roman"/>
          <w:color w:val="000000" w:themeColor="text1"/>
          <w:sz w:val="24"/>
        </w:rPr>
      </w:pPr>
      <w:r w:rsidRPr="00B759D0">
        <w:rPr>
          <w:rFonts w:cs="Times New Roman"/>
          <w:color w:val="000000" w:themeColor="text1"/>
          <w:sz w:val="24"/>
        </w:rPr>
        <w:t>From a human resource perspective (Murray, 2022), our collaboration was relatively resource-light, the main time investment being three one-hour meetings</w:t>
      </w:r>
      <w:r w:rsidR="009B1AC9" w:rsidRPr="00B759D0">
        <w:rPr>
          <w:rFonts w:cs="Times New Roman"/>
          <w:color w:val="000000" w:themeColor="text1"/>
          <w:sz w:val="24"/>
        </w:rPr>
        <w:t xml:space="preserve"> (the teaching was delivered by the disciplinary lecturer as part of the usual timetabled curriculum and therefore no extra teaching resource was needed)</w:t>
      </w:r>
      <w:r w:rsidRPr="00B759D0">
        <w:rPr>
          <w:rFonts w:cs="Times New Roman"/>
          <w:color w:val="000000" w:themeColor="text1"/>
          <w:sz w:val="24"/>
        </w:rPr>
        <w:t xml:space="preserve">. This is modest compared with the significant resource entailed by WAC provision, and the prevalent EAP models of bespoke provision, in which the EAP lecturer must develop a level of discoursal expertise in the discipline they are assigned to (Nicholls, 2021), meet with subject specialists and collect genre samples, timetable sessions, and teach. This is time consuming and often, once that expertise has developed, the EAP lecturer is moved to a new area of the curriculum (Murray, 2022). While the embedded model of bespoke provision (with handover to the subject specialist) is undoubtedly better, the resource implications are significant (see e.g., Maldoni &amp; Lear, 2016). As for the third widespread model of EAP/study skills provision, in which generic classes or one-to-one meetings are provided only to students who seek help (often cast as deficient in language/skills) (Lillis, 2001), our collaboration is more resource-light, inclusive, targeted and potentially far-reaching. </w:t>
      </w:r>
    </w:p>
    <w:p w14:paraId="11D0B9DA" w14:textId="15EA1B0C" w:rsidR="004F4724" w:rsidRPr="00B759D0" w:rsidRDefault="004F4724" w:rsidP="00841A7D">
      <w:pPr>
        <w:spacing w:line="360" w:lineRule="auto"/>
        <w:jc w:val="left"/>
        <w:rPr>
          <w:rFonts w:cs="Times New Roman"/>
          <w:color w:val="000000" w:themeColor="text1"/>
          <w:sz w:val="24"/>
        </w:rPr>
      </w:pPr>
      <w:r w:rsidRPr="00B759D0">
        <w:rPr>
          <w:rFonts w:cs="Times New Roman"/>
          <w:color w:val="000000" w:themeColor="text1"/>
          <w:sz w:val="24"/>
        </w:rPr>
        <w:t>We ar</w:t>
      </w:r>
      <w:r w:rsidR="0045192B" w:rsidRPr="00B759D0">
        <w:rPr>
          <w:rFonts w:cs="Times New Roman"/>
          <w:color w:val="000000" w:themeColor="text1"/>
          <w:sz w:val="24"/>
        </w:rPr>
        <w:t>e certainly not</w:t>
      </w:r>
      <w:r w:rsidRPr="00B759D0">
        <w:rPr>
          <w:rFonts w:cs="Times New Roman"/>
          <w:color w:val="000000" w:themeColor="text1"/>
          <w:sz w:val="24"/>
        </w:rPr>
        <w:t xml:space="preserve"> suggesting that all EAP/study skills work with students be abandoned, particularly on the grounds of one case-study. Indeed, as with other studies of this nature, it would be difficult to evaluate the impact of our study empirically </w:t>
      </w:r>
      <w:r w:rsidRPr="00B759D0">
        <w:rPr>
          <w:rFonts w:cs="Times New Roman"/>
          <w:sz w:val="24"/>
        </w:rPr>
        <w:t xml:space="preserve">(Fenton-Smith et al., 2017). </w:t>
      </w:r>
      <w:r w:rsidR="0045192B" w:rsidRPr="00B759D0">
        <w:rPr>
          <w:rFonts w:cs="Times New Roman"/>
          <w:color w:val="000000" w:themeColor="text1"/>
          <w:sz w:val="24"/>
        </w:rPr>
        <w:t>However,</w:t>
      </w:r>
      <w:r w:rsidRPr="00B759D0">
        <w:rPr>
          <w:rFonts w:cs="Times New Roman"/>
          <w:color w:val="000000" w:themeColor="text1"/>
          <w:sz w:val="24"/>
        </w:rPr>
        <w:t xml:space="preserve"> based on our results, we suggest that embedding academic writing development in early-career lecturer qualifications such as the PGCHE, coupled with supporting EAP lecturers to work with early-career lecturers to develop writing tasks, has potential. Indeed, the advantage of reversing the roles of stakeholders in writing development—the subject lecturer acquiring pedagogical skills rooted in genre theory to develop their students’ writing and the EAP lecturer supporting the subject lecturer to do so—is that knowledge then resides in the discipline,</w:t>
      </w:r>
      <w:r w:rsidRPr="00B759D0">
        <w:rPr>
          <w:rFonts w:cs="Times New Roman"/>
          <w:sz w:val="24"/>
        </w:rPr>
        <w:t xml:space="preserve"> and the ambition that writing development instruction reaches all students (Wingate</w:t>
      </w:r>
      <w:r w:rsidR="008A5195">
        <w:rPr>
          <w:rFonts w:cs="Times New Roman"/>
          <w:sz w:val="24"/>
        </w:rPr>
        <w:t xml:space="preserve"> et al.</w:t>
      </w:r>
      <w:r w:rsidRPr="00B759D0">
        <w:rPr>
          <w:rFonts w:cs="Times New Roman"/>
          <w:sz w:val="24"/>
        </w:rPr>
        <w:t>, 2011) becomes more attainable.</w:t>
      </w:r>
    </w:p>
    <w:p w14:paraId="0F76AE0D" w14:textId="77777777" w:rsidR="004F4724" w:rsidRPr="00B759D0" w:rsidRDefault="004F4724" w:rsidP="00841A7D">
      <w:pPr>
        <w:spacing w:line="360" w:lineRule="auto"/>
        <w:jc w:val="left"/>
        <w:rPr>
          <w:rFonts w:cs="Times New Roman"/>
          <w:sz w:val="24"/>
        </w:rPr>
      </w:pPr>
      <w:r w:rsidRPr="00B759D0">
        <w:rPr>
          <w:rFonts w:cs="Times New Roman"/>
          <w:color w:val="000000" w:themeColor="text1"/>
          <w:sz w:val="24"/>
        </w:rPr>
        <w:t xml:space="preserve">The triadic design of our collaboration was important. Operating outside the normal parameters of all our roles (the EAP lecturer in a staff-facing role, the academic developer and subject lecturer working with writing development) seemed to enhance a sense of trust and egalitarianism. Collectivity, support, and reciprocity engendered a dialogic culture which </w:t>
      </w:r>
      <w:r w:rsidRPr="00B759D0">
        <w:rPr>
          <w:rFonts w:cs="Times New Roman"/>
          <w:sz w:val="24"/>
        </w:rPr>
        <w:t xml:space="preserve">created a sense of ease in venturing and discussing ideas, thus </w:t>
      </w:r>
      <w:r w:rsidRPr="00B759D0">
        <w:rPr>
          <w:rFonts w:cs="Times New Roman"/>
          <w:color w:val="000000" w:themeColor="text1"/>
          <w:sz w:val="24"/>
        </w:rPr>
        <w:t xml:space="preserve">maximising </w:t>
      </w:r>
      <w:r w:rsidRPr="00B759D0">
        <w:rPr>
          <w:rFonts w:cs="Times New Roman"/>
          <w:sz w:val="24"/>
        </w:rPr>
        <w:t xml:space="preserve">learning potential (Alexander, 2020, p. 131). </w:t>
      </w:r>
      <w:r w:rsidRPr="00B759D0">
        <w:rPr>
          <w:rFonts w:cs="Times New Roman"/>
          <w:color w:val="000000" w:themeColor="text1"/>
          <w:sz w:val="24"/>
        </w:rPr>
        <w:t>Reciprocal, deliberative and culminative talk exposed Sam to alternatives, encouraged her to evaluate ideas, and helped her make decisions, culminating in the creation of tasks and an evolved perspective on disciplinary writing. As shown in the results section, while potentially occupying a position of power, LS and AD maintained respect for the SL’s subject and contextual knowledge and expertise and maintained awareness of face considerations (Haugh &amp; Bargiela-Chiappini, 2010). Crucially, the inclusion of an academic developer meant we could embed tasks in the PGCHE and frame the collaboration in the context of professional development. Equally important was the inclusion of the EAP specialist, which meant that the professional development and subsequent task design was built on a solid foundation of research into writing development (e.g., Johns, 1997; Swales, 1990; Tardy, 2009).</w:t>
      </w:r>
    </w:p>
    <w:p w14:paraId="061787A8" w14:textId="5722A0B4" w:rsidR="006C08A2" w:rsidRPr="00B759D0" w:rsidRDefault="004F4724" w:rsidP="00841A7D">
      <w:pPr>
        <w:spacing w:line="360" w:lineRule="auto"/>
        <w:jc w:val="left"/>
        <w:rPr>
          <w:rFonts w:cs="Times New Roman"/>
          <w:sz w:val="24"/>
        </w:rPr>
      </w:pPr>
      <w:r w:rsidRPr="00B759D0">
        <w:rPr>
          <w:rFonts w:eastAsia="Times New Roman" w:cs="Times New Roman"/>
          <w:sz w:val="24"/>
        </w:rPr>
        <w:t xml:space="preserve">We recognise that in the current culture of HE globally, </w:t>
      </w:r>
      <w:r w:rsidRPr="00B759D0">
        <w:rPr>
          <w:rFonts w:cs="Times New Roman"/>
          <w:sz w:val="24"/>
        </w:rPr>
        <w:t>academic staff are “continually being asked to rethink their practices in response to seemingly ever-changing directives from senior management” which can lead to “a lack of enthusiasm combined with a degree of scepticism – even cynicism – on the part of those expected to implement the change” (Murray &amp; Nallaya, 2016</w:t>
      </w:r>
      <w:r w:rsidR="007C34A3">
        <w:rPr>
          <w:rFonts w:cs="Times New Roman"/>
          <w:sz w:val="24"/>
        </w:rPr>
        <w:t>,</w:t>
      </w:r>
      <w:r w:rsidRPr="00B759D0">
        <w:rPr>
          <w:rFonts w:cs="Times New Roman"/>
          <w:sz w:val="24"/>
        </w:rPr>
        <w:t xml:space="preserve"> p. 1306). The value of our study lies in the dialogic and egalitarian nature of the collaboration; stepping out of our silos enabled us to embed facets of writing development within the early-career lecturer training programme and the discipline, delivered by the subject lecturer in a theoretically grounded and resource-efficient way. Therefore, our study constitutes a useful contribution to discussions on how universities could overhaul </w:t>
      </w:r>
      <w:r w:rsidR="001B4265" w:rsidRPr="00B759D0">
        <w:rPr>
          <w:rFonts w:cs="Times New Roman"/>
          <w:sz w:val="24"/>
        </w:rPr>
        <w:t>post entry/</w:t>
      </w:r>
      <w:r w:rsidRPr="00B759D0">
        <w:rPr>
          <w:rFonts w:cs="Times New Roman"/>
          <w:sz w:val="24"/>
        </w:rPr>
        <w:t>in-sessional disciplinary writing development and facilitate meaningful collaboration between key stakeholders in new roles.</w:t>
      </w:r>
      <w:r w:rsidR="006F3E06" w:rsidRPr="00B759D0">
        <w:rPr>
          <w:rFonts w:cs="Times New Roman"/>
          <w:sz w:val="24"/>
        </w:rPr>
        <w:t xml:space="preserve"> In terms of application, the next step would be to roll out the programme to a</w:t>
      </w:r>
      <w:r w:rsidR="00024B4E" w:rsidRPr="00B759D0">
        <w:rPr>
          <w:rFonts w:cs="Times New Roman"/>
          <w:sz w:val="24"/>
        </w:rPr>
        <w:t xml:space="preserve"> larger</w:t>
      </w:r>
      <w:r w:rsidR="006F3E06" w:rsidRPr="00B759D0">
        <w:rPr>
          <w:rFonts w:cs="Times New Roman"/>
          <w:sz w:val="24"/>
        </w:rPr>
        <w:t xml:space="preserve"> cohort of early-career lecturers, and potentially expand to other universities. </w:t>
      </w:r>
      <w:r w:rsidR="008E6771" w:rsidRPr="00B759D0">
        <w:rPr>
          <w:rFonts w:cs="Times New Roman"/>
          <w:sz w:val="24"/>
        </w:rPr>
        <w:t>G</w:t>
      </w:r>
      <w:r w:rsidR="006F3E06" w:rsidRPr="00B759D0">
        <w:rPr>
          <w:rFonts w:cs="Times New Roman"/>
          <w:sz w:val="24"/>
        </w:rPr>
        <w:t xml:space="preserve">iven the nature of decision-making in higher education institutions, this would likely require </w:t>
      </w:r>
      <w:r w:rsidR="008E6771" w:rsidRPr="00B759D0">
        <w:rPr>
          <w:rFonts w:cs="Times New Roman"/>
          <w:sz w:val="24"/>
        </w:rPr>
        <w:t>the development of some means of project evaluation (Fenton-Smith et al., 2017), which takes into account the perspectives and performance of students.</w:t>
      </w:r>
      <w:r w:rsidR="00A906EA" w:rsidRPr="00B759D0">
        <w:rPr>
          <w:rFonts w:cs="Times New Roman"/>
          <w:sz w:val="24"/>
        </w:rPr>
        <w:t xml:space="preserve"> F</w:t>
      </w:r>
      <w:r w:rsidR="008E6771" w:rsidRPr="00B759D0">
        <w:rPr>
          <w:rFonts w:cs="Times New Roman"/>
          <w:sz w:val="24"/>
        </w:rPr>
        <w:t>uture research should look to explore</w:t>
      </w:r>
      <w:r w:rsidR="00FF61EF" w:rsidRPr="00B759D0">
        <w:rPr>
          <w:rFonts w:cs="Times New Roman"/>
          <w:sz w:val="24"/>
        </w:rPr>
        <w:t xml:space="preserve"> the</w:t>
      </w:r>
      <w:r w:rsidR="008E6771" w:rsidRPr="00B759D0">
        <w:rPr>
          <w:rFonts w:cs="Times New Roman"/>
          <w:sz w:val="24"/>
        </w:rPr>
        <w:t xml:space="preserve"> development of such evaluation tool</w:t>
      </w:r>
      <w:r w:rsidR="00DB7694" w:rsidRPr="00B759D0">
        <w:rPr>
          <w:rFonts w:cs="Times New Roman"/>
          <w:sz w:val="24"/>
        </w:rPr>
        <w:t>s</w:t>
      </w:r>
      <w:r w:rsidR="008E6771" w:rsidRPr="00B759D0">
        <w:rPr>
          <w:rFonts w:cs="Times New Roman"/>
          <w:sz w:val="24"/>
        </w:rPr>
        <w:t>.</w:t>
      </w:r>
    </w:p>
    <w:p w14:paraId="26BABFDF" w14:textId="52D7BF6B" w:rsidR="006A58CF" w:rsidRPr="00B759D0" w:rsidRDefault="006A58CF" w:rsidP="00841A7D">
      <w:pPr>
        <w:pStyle w:val="Heading1"/>
        <w:numPr>
          <w:ilvl w:val="0"/>
          <w:numId w:val="0"/>
        </w:numPr>
        <w:jc w:val="left"/>
      </w:pPr>
      <w:r w:rsidRPr="00B759D0">
        <w:t>Acknowledgements</w:t>
      </w:r>
      <w:r w:rsidR="00581B9E" w:rsidRPr="00B759D0">
        <w:t xml:space="preserve"> </w:t>
      </w:r>
    </w:p>
    <w:p w14:paraId="1F8062C7" w14:textId="1E41A234" w:rsidR="004F4724" w:rsidRPr="00B759D0" w:rsidRDefault="004F4724" w:rsidP="00841A7D">
      <w:pPr>
        <w:spacing w:line="360" w:lineRule="auto"/>
        <w:jc w:val="left"/>
        <w:rPr>
          <w:rFonts w:eastAsia="Times New Roman" w:cs="Times New Roman"/>
          <w:sz w:val="24"/>
        </w:rPr>
      </w:pPr>
      <w:r w:rsidRPr="00B759D0">
        <w:rPr>
          <w:rFonts w:eastAsia="Times New Roman" w:cs="Times New Roman"/>
          <w:sz w:val="24"/>
        </w:rPr>
        <w:t xml:space="preserve">This project was supported by </w:t>
      </w:r>
      <w:r w:rsidR="00545C64" w:rsidRPr="00B759D0">
        <w:rPr>
          <w:rFonts w:eastAsia="Times New Roman" w:cs="Times New Roman"/>
          <w:sz w:val="24"/>
        </w:rPr>
        <w:t>Sheffield Hallam University’s</w:t>
      </w:r>
      <w:r w:rsidRPr="00B759D0">
        <w:rPr>
          <w:rFonts w:eastAsia="Times New Roman" w:cs="Times New Roman"/>
          <w:sz w:val="24"/>
        </w:rPr>
        <w:t xml:space="preserve"> Interdisciplinary Research and Innovation Fund. </w:t>
      </w:r>
    </w:p>
    <w:p w14:paraId="0F2741AF" w14:textId="77777777" w:rsidR="004F4724" w:rsidRPr="00B759D0" w:rsidRDefault="004F4724" w:rsidP="00841A7D">
      <w:pPr>
        <w:pStyle w:val="Heading1"/>
        <w:numPr>
          <w:ilvl w:val="0"/>
          <w:numId w:val="0"/>
        </w:numPr>
        <w:ind w:left="360" w:hanging="360"/>
        <w:jc w:val="left"/>
      </w:pPr>
    </w:p>
    <w:p w14:paraId="0EAC687D" w14:textId="1922336C" w:rsidR="006A58CF" w:rsidRPr="00B759D0" w:rsidRDefault="006A58CF" w:rsidP="00841A7D">
      <w:pPr>
        <w:pStyle w:val="Heading1"/>
        <w:numPr>
          <w:ilvl w:val="0"/>
          <w:numId w:val="0"/>
        </w:numPr>
        <w:ind w:left="360" w:hanging="360"/>
        <w:jc w:val="left"/>
      </w:pPr>
      <w:r w:rsidRPr="00B759D0">
        <w:t>References</w:t>
      </w:r>
      <w:r w:rsidR="00581B9E" w:rsidRPr="00B759D0">
        <w:t xml:space="preserve"> </w:t>
      </w:r>
    </w:p>
    <w:p w14:paraId="0BB8E9A6"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DD6512">
        <w:rPr>
          <w:rFonts w:cs="Times New Roman"/>
          <w:color w:val="222222"/>
          <w:sz w:val="24"/>
          <w:shd w:val="clear" w:color="auto" w:fill="FFFFFF"/>
        </w:rPr>
        <w:t>Alexander, R. (2020). </w:t>
      </w:r>
      <w:r w:rsidRPr="00DD6512">
        <w:rPr>
          <w:rFonts w:cs="Times New Roman"/>
          <w:i/>
          <w:iCs/>
          <w:color w:val="222222"/>
          <w:sz w:val="24"/>
          <w:shd w:val="clear" w:color="auto" w:fill="FFFFFF"/>
        </w:rPr>
        <w:t>A dialogic teaching companion</w:t>
      </w:r>
      <w:r w:rsidRPr="00DD6512">
        <w:rPr>
          <w:rFonts w:cs="Times New Roman"/>
          <w:color w:val="222222"/>
          <w:sz w:val="24"/>
          <w:shd w:val="clear" w:color="auto" w:fill="FFFFFF"/>
        </w:rPr>
        <w:t>. Routledge.</w:t>
      </w:r>
    </w:p>
    <w:p w14:paraId="4FE845BE" w14:textId="77777777" w:rsidR="00652EE3" w:rsidRPr="00652923" w:rsidRDefault="00652EE3" w:rsidP="00652EE3">
      <w:pPr>
        <w:spacing w:line="480" w:lineRule="auto"/>
        <w:ind w:left="709" w:hanging="709"/>
        <w:jc w:val="left"/>
        <w:rPr>
          <w:rFonts w:cs="Times New Roman"/>
          <w:sz w:val="24"/>
        </w:rPr>
      </w:pPr>
      <w:r w:rsidRPr="00DD6512">
        <w:rPr>
          <w:rFonts w:cs="Times New Roman"/>
          <w:color w:val="222222"/>
          <w:sz w:val="24"/>
          <w:shd w:val="clear" w:color="auto" w:fill="FFFFFF"/>
        </w:rPr>
        <w:t>Bakhtin, M. M. (2010). </w:t>
      </w:r>
      <w:r w:rsidRPr="00DD6512">
        <w:rPr>
          <w:rFonts w:cs="Times New Roman"/>
          <w:i/>
          <w:iCs/>
          <w:color w:val="222222"/>
          <w:sz w:val="24"/>
          <w:shd w:val="clear" w:color="auto" w:fill="FFFFFF"/>
        </w:rPr>
        <w:t>The dialogic imagination: Four essays</w:t>
      </w:r>
      <w:r w:rsidRPr="00DD6512">
        <w:rPr>
          <w:rFonts w:cs="Times New Roman"/>
          <w:color w:val="222222"/>
          <w:sz w:val="24"/>
          <w:shd w:val="clear" w:color="auto" w:fill="FFFFFF"/>
        </w:rPr>
        <w:t>. University of Texas Press.</w:t>
      </w:r>
    </w:p>
    <w:p w14:paraId="1CC86BF5"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4F6179">
        <w:rPr>
          <w:rFonts w:cs="Times New Roman"/>
          <w:color w:val="222222"/>
          <w:sz w:val="24"/>
          <w:shd w:val="clear" w:color="auto" w:fill="FFFFFF"/>
          <w:lang w:val="en-AU"/>
        </w:rPr>
        <w:t xml:space="preserve">British Association of Lecturers in English for Academic Purposes. (August 2008) Competency framework for teachers of English for academic purposes. </w:t>
      </w:r>
      <w:hyperlink r:id="rId13" w:history="1">
        <w:r w:rsidRPr="004F6179">
          <w:rPr>
            <w:rStyle w:val="Hyperlink"/>
            <w:rFonts w:cs="Times New Roman"/>
            <w:sz w:val="24"/>
            <w:shd w:val="clear" w:color="auto" w:fill="FFFFFF"/>
          </w:rPr>
          <w:t>https://www.baleap.org/wp-content/uploads/2016/04/teap-competency-framework.pdf</w:t>
        </w:r>
      </w:hyperlink>
      <w:r w:rsidRPr="004F6179">
        <w:rPr>
          <w:rStyle w:val="Hyperlink"/>
          <w:rFonts w:cs="Times New Roman"/>
          <w:sz w:val="24"/>
          <w:shd w:val="clear" w:color="auto" w:fill="FFFFFF"/>
        </w:rPr>
        <w:t xml:space="preserve"> </w:t>
      </w:r>
    </w:p>
    <w:p w14:paraId="4FE258FD" w14:textId="77777777" w:rsidR="00652EE3" w:rsidRPr="00EA2543" w:rsidRDefault="00652EE3" w:rsidP="00652EE3">
      <w:pPr>
        <w:spacing w:line="480" w:lineRule="auto"/>
        <w:ind w:left="709" w:hanging="709"/>
        <w:jc w:val="left"/>
        <w:rPr>
          <w:rFonts w:cs="Times New Roman"/>
          <w:color w:val="222222"/>
          <w:sz w:val="24"/>
          <w:shd w:val="clear" w:color="auto" w:fill="FFFFFF"/>
        </w:rPr>
      </w:pPr>
      <w:r w:rsidRPr="00D92B76">
        <w:rPr>
          <w:rFonts w:cs="Times New Roman"/>
          <w:color w:val="222222"/>
          <w:sz w:val="24"/>
          <w:shd w:val="clear" w:color="auto" w:fill="FFFFFF"/>
        </w:rPr>
        <w:t>Bedggood, R., &amp; Donovan, J. (2012). University performance evaluations: What are we really measuring?  </w:t>
      </w:r>
      <w:r w:rsidRPr="00D92B76">
        <w:rPr>
          <w:rFonts w:cs="Times New Roman"/>
          <w:i/>
          <w:iCs/>
          <w:color w:val="222222"/>
          <w:sz w:val="24"/>
          <w:shd w:val="clear" w:color="auto" w:fill="FFFFFF"/>
        </w:rPr>
        <w:t>Studies in Higher Education </w:t>
      </w:r>
      <w:hyperlink r:id="rId14" w:tgtFrame="_blank" w:history="1">
        <w:r w:rsidRPr="00D92B76">
          <w:rPr>
            <w:rFonts w:cs="Times New Roman"/>
            <w:i/>
            <w:iCs/>
            <w:color w:val="222222"/>
            <w:sz w:val="24"/>
            <w:shd w:val="clear" w:color="auto" w:fill="FFFFFF"/>
          </w:rPr>
          <w:t>37</w:t>
        </w:r>
      </w:hyperlink>
      <w:r w:rsidRPr="00D92B76">
        <w:rPr>
          <w:rFonts w:cs="Times New Roman"/>
          <w:i/>
          <w:iCs/>
          <w:color w:val="222222"/>
          <w:sz w:val="24"/>
          <w:shd w:val="clear" w:color="auto" w:fill="FFFFFF"/>
        </w:rPr>
        <w:t> </w:t>
      </w:r>
      <w:r w:rsidRPr="00D92B76">
        <w:rPr>
          <w:rFonts w:cs="Times New Roman"/>
          <w:color w:val="222222"/>
          <w:sz w:val="24"/>
          <w:shd w:val="clear" w:color="auto" w:fill="FFFFFF"/>
        </w:rPr>
        <w:t>(</w:t>
      </w:r>
      <w:hyperlink r:id="rId15" w:tgtFrame="_blank" w:history="1">
        <w:r w:rsidRPr="00D92B76">
          <w:rPr>
            <w:rFonts w:cs="Times New Roman"/>
            <w:color w:val="222222"/>
            <w:sz w:val="24"/>
            <w:shd w:val="clear" w:color="auto" w:fill="FFFFFF"/>
          </w:rPr>
          <w:t>7</w:t>
        </w:r>
      </w:hyperlink>
      <w:r w:rsidRPr="00D92B76">
        <w:rPr>
          <w:rFonts w:cs="Times New Roman"/>
          <w:i/>
          <w:iCs/>
          <w:color w:val="222222"/>
          <w:sz w:val="24"/>
          <w:shd w:val="clear" w:color="auto" w:fill="FFFFFF"/>
        </w:rPr>
        <w:t>),</w:t>
      </w:r>
      <w:r w:rsidRPr="00D92B76">
        <w:rPr>
          <w:rFonts w:cs="Times New Roman"/>
          <w:color w:val="222222"/>
          <w:sz w:val="24"/>
          <w:shd w:val="clear" w:color="auto" w:fill="FFFFFF"/>
        </w:rPr>
        <w:t xml:space="preserve"> 825–42. </w:t>
      </w:r>
      <w:hyperlink r:id="rId16" w:history="1">
        <w:r w:rsidRPr="00D92B76">
          <w:rPr>
            <w:rStyle w:val="Hyperlink"/>
            <w:rFonts w:cs="Times New Roman"/>
            <w:sz w:val="24"/>
          </w:rPr>
          <w:t>https://doi.org/10.1080/03075079.2010.549221</w:t>
        </w:r>
      </w:hyperlink>
    </w:p>
    <w:p w14:paraId="397CCA96"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D92B76">
        <w:rPr>
          <w:rFonts w:cs="Times New Roman"/>
          <w:color w:val="222222"/>
          <w:sz w:val="24"/>
          <w:shd w:val="clear" w:color="auto" w:fill="FFFFFF"/>
        </w:rPr>
        <w:t>Benzie, H. J., Pryce, A., &amp; Smith, K. (2017). The wicked problem of embedding academic literacies: Exploring rhizomatic ways of working through an adaptive leadership approach. </w:t>
      </w:r>
      <w:r w:rsidRPr="00D92B76">
        <w:rPr>
          <w:rFonts w:cs="Times New Roman"/>
          <w:i/>
          <w:iCs/>
          <w:color w:val="222222"/>
          <w:sz w:val="24"/>
          <w:shd w:val="clear" w:color="auto" w:fill="FFFFFF"/>
        </w:rPr>
        <w:t>Higher Education Research &amp; Development</w:t>
      </w:r>
      <w:r w:rsidRPr="00D92B76">
        <w:rPr>
          <w:rFonts w:cs="Times New Roman"/>
          <w:color w:val="222222"/>
          <w:sz w:val="24"/>
          <w:shd w:val="clear" w:color="auto" w:fill="FFFFFF"/>
        </w:rPr>
        <w:t>, </w:t>
      </w:r>
      <w:r w:rsidRPr="00D92B76">
        <w:rPr>
          <w:rFonts w:cs="Times New Roman"/>
          <w:i/>
          <w:iCs/>
          <w:color w:val="222222"/>
          <w:sz w:val="24"/>
          <w:shd w:val="clear" w:color="auto" w:fill="FFFFFF"/>
        </w:rPr>
        <w:t>36</w:t>
      </w:r>
      <w:r w:rsidRPr="00D92B76">
        <w:rPr>
          <w:rFonts w:cs="Times New Roman"/>
          <w:color w:val="222222"/>
          <w:sz w:val="24"/>
          <w:shd w:val="clear" w:color="auto" w:fill="FFFFFF"/>
        </w:rPr>
        <w:t xml:space="preserve">(2), 227-240. </w:t>
      </w:r>
      <w:r w:rsidRPr="00D92B76">
        <w:rPr>
          <w:rStyle w:val="Hyperlink"/>
          <w:rFonts w:cs="Times New Roman"/>
          <w:sz w:val="24"/>
        </w:rPr>
        <w:t>https://doi.org/</w:t>
      </w:r>
      <w:hyperlink r:id="rId17" w:tgtFrame="_blank" w:history="1">
        <w:r w:rsidRPr="00D92B76">
          <w:rPr>
            <w:rStyle w:val="Hyperlink"/>
            <w:rFonts w:cs="Times New Roman"/>
            <w:sz w:val="24"/>
          </w:rPr>
          <w:t>10.1080/07294360.2016.1199539</w:t>
        </w:r>
      </w:hyperlink>
    </w:p>
    <w:p w14:paraId="0374ACD2"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D92B76">
        <w:rPr>
          <w:rFonts w:cs="Times New Roman"/>
          <w:color w:val="222222"/>
          <w:sz w:val="24"/>
          <w:shd w:val="clear" w:color="auto" w:fill="FFFFFF"/>
        </w:rPr>
        <w:t>Bergman, L. (2016). Supporting academic literacies: University teachers in collaboration for change. </w:t>
      </w:r>
      <w:r w:rsidRPr="00D92B76">
        <w:rPr>
          <w:rFonts w:cs="Times New Roman"/>
          <w:i/>
          <w:iCs/>
          <w:color w:val="222222"/>
          <w:sz w:val="24"/>
          <w:shd w:val="clear" w:color="auto" w:fill="FFFFFF"/>
        </w:rPr>
        <w:t>Teaching in Higher Education</w:t>
      </w:r>
      <w:r w:rsidRPr="00D92B76">
        <w:rPr>
          <w:rFonts w:cs="Times New Roman"/>
          <w:color w:val="222222"/>
          <w:sz w:val="24"/>
          <w:shd w:val="clear" w:color="auto" w:fill="FFFFFF"/>
        </w:rPr>
        <w:t>, </w:t>
      </w:r>
      <w:r w:rsidRPr="00D92B76">
        <w:rPr>
          <w:rFonts w:cs="Times New Roman"/>
          <w:i/>
          <w:iCs/>
          <w:color w:val="222222"/>
          <w:sz w:val="24"/>
          <w:shd w:val="clear" w:color="auto" w:fill="FFFFFF"/>
        </w:rPr>
        <w:t>21</w:t>
      </w:r>
      <w:r w:rsidRPr="00D92B76">
        <w:rPr>
          <w:rFonts w:cs="Times New Roman"/>
          <w:color w:val="222222"/>
          <w:sz w:val="24"/>
          <w:shd w:val="clear" w:color="auto" w:fill="FFFFFF"/>
        </w:rPr>
        <w:t xml:space="preserve">(5), 516-531. </w:t>
      </w:r>
      <w:hyperlink r:id="rId18" w:history="1">
        <w:r w:rsidRPr="00D92B76">
          <w:rPr>
            <w:rStyle w:val="Hyperlink"/>
            <w:rFonts w:cs="Times New Roman"/>
            <w:sz w:val="24"/>
          </w:rPr>
          <w:t>https://doi.org/10.1080/13562517.2016.1160220</w:t>
        </w:r>
      </w:hyperlink>
    </w:p>
    <w:p w14:paraId="2E169CFA"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D92B76">
        <w:rPr>
          <w:rFonts w:cs="Times New Roman"/>
          <w:color w:val="222222"/>
          <w:sz w:val="24"/>
          <w:shd w:val="clear" w:color="auto" w:fill="FFFFFF"/>
        </w:rPr>
        <w:t>Biggs, J., &amp; Tang, C. (2011). </w:t>
      </w:r>
      <w:r w:rsidRPr="00D92B76">
        <w:rPr>
          <w:rFonts w:cs="Times New Roman"/>
          <w:i/>
          <w:iCs/>
          <w:color w:val="222222"/>
          <w:sz w:val="24"/>
          <w:shd w:val="clear" w:color="auto" w:fill="FFFFFF"/>
        </w:rPr>
        <w:t>Teaching for quality learning at university</w:t>
      </w:r>
      <w:r w:rsidRPr="00D92B76">
        <w:rPr>
          <w:rFonts w:cs="Times New Roman"/>
          <w:color w:val="222222"/>
          <w:sz w:val="24"/>
          <w:shd w:val="clear" w:color="auto" w:fill="FFFFFF"/>
        </w:rPr>
        <w:t>. McGraw-hill Education.</w:t>
      </w:r>
    </w:p>
    <w:p w14:paraId="3490EE80" w14:textId="77777777" w:rsidR="00652EE3" w:rsidRPr="00652923" w:rsidRDefault="00652EE3" w:rsidP="00652EE3">
      <w:pPr>
        <w:spacing w:line="480" w:lineRule="auto"/>
        <w:ind w:left="709" w:hanging="709"/>
        <w:jc w:val="left"/>
        <w:rPr>
          <w:rFonts w:cs="Times New Roman"/>
          <w:color w:val="222222"/>
          <w:sz w:val="24"/>
          <w:shd w:val="clear" w:color="auto" w:fill="FFFFFF"/>
          <w:lang w:val="en-AU"/>
        </w:rPr>
      </w:pPr>
      <w:r w:rsidRPr="00D92B76">
        <w:rPr>
          <w:rFonts w:cs="Times New Roman"/>
          <w:color w:val="222222"/>
          <w:sz w:val="24"/>
          <w:shd w:val="clear" w:color="auto" w:fill="FFFFFF"/>
          <w:lang w:val="en-AU"/>
        </w:rPr>
        <w:t xml:space="preserve">Chanock, K., Horton, C., Reedman, M., &amp; Stephenson, B. (2012). Collaborating to embed academic literacies and personal support in first year discipline subjects. </w:t>
      </w:r>
      <w:r w:rsidRPr="00D92B76">
        <w:rPr>
          <w:rFonts w:cs="Times New Roman"/>
          <w:i/>
          <w:iCs/>
          <w:color w:val="222222"/>
          <w:sz w:val="24"/>
          <w:shd w:val="clear" w:color="auto" w:fill="FFFFFF"/>
          <w:lang w:val="en-AU"/>
        </w:rPr>
        <w:t>Journal of University Teaching &amp; Learning Practice</w:t>
      </w:r>
      <w:r w:rsidRPr="00D92B76">
        <w:rPr>
          <w:rFonts w:cs="Times New Roman"/>
          <w:color w:val="222222"/>
          <w:sz w:val="24"/>
          <w:shd w:val="clear" w:color="auto" w:fill="FFFFFF"/>
          <w:lang w:val="en-AU"/>
        </w:rPr>
        <w:t xml:space="preserve">, 9(3), 1-13. </w:t>
      </w:r>
      <w:r w:rsidRPr="00D92B76">
        <w:rPr>
          <w:rStyle w:val="Hyperlink"/>
          <w:rFonts w:cs="Times New Roman"/>
          <w:sz w:val="24"/>
        </w:rPr>
        <w:t>https://doi.org/</w:t>
      </w:r>
      <w:hyperlink r:id="rId19" w:tgtFrame="_blank" w:history="1">
        <w:r w:rsidRPr="00D92B76">
          <w:rPr>
            <w:rStyle w:val="Hyperlink"/>
            <w:rFonts w:cs="Times New Roman"/>
            <w:sz w:val="24"/>
          </w:rPr>
          <w:t>10.53761/1.9.3.3</w:t>
        </w:r>
      </w:hyperlink>
    </w:p>
    <w:p w14:paraId="371A6983" w14:textId="77777777" w:rsidR="00652EE3" w:rsidRPr="00652923" w:rsidRDefault="00652EE3" w:rsidP="00652EE3">
      <w:pPr>
        <w:spacing w:line="480" w:lineRule="auto"/>
        <w:ind w:left="709" w:hanging="709"/>
        <w:jc w:val="left"/>
        <w:rPr>
          <w:rFonts w:cs="Times New Roman"/>
          <w:sz w:val="24"/>
          <w:shd w:val="clear" w:color="auto" w:fill="FFFFFF"/>
        </w:rPr>
      </w:pPr>
      <w:r w:rsidRPr="00D92B76">
        <w:rPr>
          <w:rFonts w:cs="Times New Roman"/>
          <w:color w:val="222222"/>
          <w:sz w:val="24"/>
          <w:shd w:val="clear" w:color="auto" w:fill="FFFFFF"/>
        </w:rPr>
        <w:t>Devereux, L., Wilson, K., Kiley, A., &amp; Gunawardena, M. (2018). The proof of the pudding… analysing student written texts for evidence of a successful literacy intervention. </w:t>
      </w:r>
      <w:r w:rsidRPr="00D92B76">
        <w:rPr>
          <w:rFonts w:cs="Times New Roman"/>
          <w:i/>
          <w:iCs/>
          <w:color w:val="222222"/>
          <w:sz w:val="24"/>
          <w:shd w:val="clear" w:color="auto" w:fill="FFFFFF"/>
        </w:rPr>
        <w:t>Journal of Academic Language and Learning</w:t>
      </w:r>
      <w:r w:rsidRPr="00D92B76">
        <w:rPr>
          <w:rFonts w:cs="Times New Roman"/>
          <w:color w:val="222222"/>
          <w:sz w:val="24"/>
          <w:shd w:val="clear" w:color="auto" w:fill="FFFFFF"/>
        </w:rPr>
        <w:t>, </w:t>
      </w:r>
      <w:r w:rsidRPr="00D92B76">
        <w:rPr>
          <w:rFonts w:cs="Times New Roman"/>
          <w:i/>
          <w:iCs/>
          <w:color w:val="222222"/>
          <w:sz w:val="24"/>
          <w:shd w:val="clear" w:color="auto" w:fill="FFFFFF"/>
        </w:rPr>
        <w:t>12</w:t>
      </w:r>
      <w:r w:rsidRPr="00D92B76">
        <w:rPr>
          <w:rFonts w:cs="Times New Roman"/>
          <w:color w:val="222222"/>
          <w:sz w:val="24"/>
          <w:shd w:val="clear" w:color="auto" w:fill="FFFFFF"/>
        </w:rPr>
        <w:t xml:space="preserve">(1), A239-A253. </w:t>
      </w:r>
      <w:hyperlink r:id="rId20" w:history="1">
        <w:r w:rsidRPr="00D92B76">
          <w:rPr>
            <w:rStyle w:val="Hyperlink"/>
            <w:rFonts w:cs="Times New Roman"/>
            <w:sz w:val="24"/>
            <w:shd w:val="clear" w:color="auto" w:fill="FFFFFF"/>
          </w:rPr>
          <w:t>https://journal.aall.org.au/index.php/jall/article/view/525</w:t>
        </w:r>
      </w:hyperlink>
    </w:p>
    <w:p w14:paraId="0B4E853C" w14:textId="77777777" w:rsidR="00652EE3" w:rsidRPr="00D92B76" w:rsidRDefault="00652EE3" w:rsidP="00652EE3">
      <w:pPr>
        <w:spacing w:line="480" w:lineRule="auto"/>
        <w:ind w:left="709" w:hanging="709"/>
        <w:jc w:val="left"/>
        <w:rPr>
          <w:rStyle w:val="Hyperlink"/>
          <w:rFonts w:cs="Times New Roman"/>
          <w:sz w:val="24"/>
          <w:shd w:val="clear" w:color="auto" w:fill="FFFFFF"/>
          <w:lang w:val="en-US"/>
        </w:rPr>
      </w:pPr>
      <w:r w:rsidRPr="00D92B76">
        <w:rPr>
          <w:rFonts w:cs="Times New Roman"/>
          <w:color w:val="222222"/>
          <w:sz w:val="24"/>
          <w:shd w:val="clear" w:color="auto" w:fill="FFFFFF"/>
          <w:lang w:val="en-US"/>
        </w:rPr>
        <w:t xml:space="preserve">Devitt, A. J. (2015). Genre performances: John Swales' genre analysis and rhetorical-linguistic genre studies. </w:t>
      </w:r>
      <w:r w:rsidRPr="00D92B76">
        <w:rPr>
          <w:rFonts w:cs="Times New Roman"/>
          <w:i/>
          <w:color w:val="222222"/>
          <w:sz w:val="24"/>
          <w:shd w:val="clear" w:color="auto" w:fill="FFFFFF"/>
          <w:lang w:val="en-US"/>
        </w:rPr>
        <w:t>Journal of English for Academic Purposes, 19</w:t>
      </w:r>
      <w:r w:rsidRPr="00D92B76">
        <w:rPr>
          <w:rFonts w:cs="Times New Roman"/>
          <w:color w:val="222222"/>
          <w:sz w:val="24"/>
          <w:shd w:val="clear" w:color="auto" w:fill="FFFFFF"/>
          <w:lang w:val="en-US"/>
        </w:rPr>
        <w:t xml:space="preserve">, 44-51. </w:t>
      </w:r>
      <w:hyperlink r:id="rId21" w:history="1">
        <w:r w:rsidRPr="00D92B76">
          <w:rPr>
            <w:rStyle w:val="Hyperlink"/>
            <w:rFonts w:cs="Times New Roman"/>
            <w:sz w:val="24"/>
            <w:shd w:val="clear" w:color="auto" w:fill="FFFFFF"/>
            <w:lang w:val="en-US"/>
          </w:rPr>
          <w:t>https://doi.org/10.1016/j.jeap.2015.05.008</w:t>
        </w:r>
      </w:hyperlink>
    </w:p>
    <w:p w14:paraId="5E59FC94" w14:textId="77777777" w:rsidR="00652EE3" w:rsidRDefault="00652EE3" w:rsidP="00652EE3">
      <w:pPr>
        <w:spacing w:line="480" w:lineRule="auto"/>
        <w:ind w:left="709" w:hanging="709"/>
        <w:jc w:val="left"/>
      </w:pPr>
      <w:r w:rsidRPr="00253B74">
        <w:rPr>
          <w:rFonts w:cs="Times New Roman"/>
          <w:color w:val="222222"/>
          <w:sz w:val="24"/>
          <w:shd w:val="clear" w:color="auto" w:fill="FFFFFF"/>
          <w:lang w:val="en-US"/>
        </w:rPr>
        <w:t>Duff, P. A. (2010). Language socialization into academic discourse communities. </w:t>
      </w:r>
      <w:r w:rsidRPr="00253B74">
        <w:rPr>
          <w:rFonts w:cs="Times New Roman"/>
          <w:i/>
          <w:iCs/>
          <w:color w:val="222222"/>
          <w:sz w:val="24"/>
          <w:shd w:val="clear" w:color="auto" w:fill="FFFFFF"/>
          <w:lang w:val="en-US"/>
        </w:rPr>
        <w:t>Annual Review of Applied Linguistics</w:t>
      </w:r>
      <w:r w:rsidRPr="00253B74">
        <w:rPr>
          <w:rFonts w:cs="Times New Roman"/>
          <w:color w:val="222222"/>
          <w:sz w:val="24"/>
          <w:shd w:val="clear" w:color="auto" w:fill="FFFFFF"/>
          <w:lang w:val="en-US"/>
        </w:rPr>
        <w:t>, 30, 169-192</w:t>
      </w:r>
      <w:r w:rsidRPr="00253B74">
        <w:rPr>
          <w:rStyle w:val="Hyperlink"/>
        </w:rPr>
        <w:t xml:space="preserve">. </w:t>
      </w:r>
      <w:hyperlink r:id="rId22" w:tgtFrame="_blank" w:history="1">
        <w:r w:rsidRPr="00253B74">
          <w:rPr>
            <w:rStyle w:val="Hyperlink"/>
          </w:rPr>
          <w:t>https://doi.org/10.1017/S0267190510000048</w:t>
        </w:r>
      </w:hyperlink>
    </w:p>
    <w:p w14:paraId="3D3B92EE"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253B74">
        <w:rPr>
          <w:rFonts w:cs="Times New Roman"/>
          <w:color w:val="222222"/>
          <w:sz w:val="24"/>
          <w:shd w:val="clear" w:color="auto" w:fill="FFFFFF"/>
        </w:rPr>
        <w:t>Dysthe, O. (2002). Professors as mediators of academic text cultures: An interview study with advisors and master’s degree students in three disciplines in a Norwegian university. </w:t>
      </w:r>
      <w:r w:rsidRPr="00253B74">
        <w:rPr>
          <w:rFonts w:cs="Times New Roman"/>
          <w:i/>
          <w:iCs/>
          <w:color w:val="222222"/>
          <w:sz w:val="24"/>
          <w:shd w:val="clear" w:color="auto" w:fill="FFFFFF"/>
        </w:rPr>
        <w:t>Written Communication</w:t>
      </w:r>
      <w:r w:rsidRPr="00253B74">
        <w:rPr>
          <w:rFonts w:cs="Times New Roman"/>
          <w:color w:val="222222"/>
          <w:sz w:val="24"/>
          <w:shd w:val="clear" w:color="auto" w:fill="FFFFFF"/>
        </w:rPr>
        <w:t>, </w:t>
      </w:r>
      <w:r w:rsidRPr="00253B74">
        <w:rPr>
          <w:rFonts w:cs="Times New Roman"/>
          <w:i/>
          <w:iCs/>
          <w:color w:val="222222"/>
          <w:sz w:val="24"/>
          <w:shd w:val="clear" w:color="auto" w:fill="FFFFFF"/>
        </w:rPr>
        <w:t>19</w:t>
      </w:r>
      <w:r w:rsidRPr="00253B74">
        <w:rPr>
          <w:rFonts w:cs="Times New Roman"/>
          <w:color w:val="222222"/>
          <w:sz w:val="24"/>
          <w:shd w:val="clear" w:color="auto" w:fill="FFFFFF"/>
        </w:rPr>
        <w:t xml:space="preserve">(4), 493-544. </w:t>
      </w:r>
      <w:hyperlink r:id="rId23" w:history="1">
        <w:r w:rsidRPr="00253B74">
          <w:rPr>
            <w:rStyle w:val="Hyperlink"/>
            <w:rFonts w:cs="Times New Roman"/>
            <w:color w:val="006ACC"/>
            <w:sz w:val="24"/>
            <w:shd w:val="clear" w:color="auto" w:fill="FFFFFF"/>
          </w:rPr>
          <w:t>https://doi.org/10.1177/0741088022380</w:t>
        </w:r>
      </w:hyperlink>
    </w:p>
    <w:p w14:paraId="31809425" w14:textId="77777777" w:rsidR="00652EE3" w:rsidRPr="00253B74" w:rsidRDefault="00652EE3" w:rsidP="00652EE3">
      <w:pPr>
        <w:spacing w:line="480" w:lineRule="auto"/>
        <w:ind w:left="709" w:hanging="709"/>
        <w:jc w:val="left"/>
        <w:rPr>
          <w:rFonts w:cs="Times New Roman"/>
          <w:color w:val="222222"/>
          <w:sz w:val="24"/>
          <w:shd w:val="clear" w:color="auto" w:fill="FFFFFF"/>
        </w:rPr>
      </w:pPr>
      <w:r w:rsidRPr="00253B74">
        <w:rPr>
          <w:rFonts w:cs="Times New Roman"/>
          <w:color w:val="222222"/>
          <w:sz w:val="24"/>
          <w:shd w:val="clear" w:color="auto" w:fill="FFFFFF"/>
        </w:rPr>
        <w:t>Elton, L. (2010). Academic writing and tacit knowledge. </w:t>
      </w:r>
      <w:r w:rsidRPr="00253B74">
        <w:rPr>
          <w:rFonts w:cs="Times New Roman"/>
          <w:i/>
          <w:iCs/>
          <w:color w:val="222222"/>
          <w:sz w:val="24"/>
          <w:shd w:val="clear" w:color="auto" w:fill="FFFFFF"/>
        </w:rPr>
        <w:t>Teaching in Higher Education</w:t>
      </w:r>
      <w:r w:rsidRPr="00253B74">
        <w:rPr>
          <w:rFonts w:cs="Times New Roman"/>
          <w:color w:val="222222"/>
          <w:sz w:val="24"/>
          <w:shd w:val="clear" w:color="auto" w:fill="FFFFFF"/>
        </w:rPr>
        <w:t>, </w:t>
      </w:r>
      <w:r w:rsidRPr="00253B74">
        <w:rPr>
          <w:rFonts w:cs="Times New Roman"/>
          <w:i/>
          <w:iCs/>
          <w:color w:val="222222"/>
          <w:sz w:val="24"/>
          <w:shd w:val="clear" w:color="auto" w:fill="FFFFFF"/>
        </w:rPr>
        <w:t>15</w:t>
      </w:r>
      <w:r w:rsidRPr="00253B74">
        <w:rPr>
          <w:rFonts w:cs="Times New Roman"/>
          <w:color w:val="222222"/>
          <w:sz w:val="24"/>
          <w:shd w:val="clear" w:color="auto" w:fill="FFFFFF"/>
        </w:rPr>
        <w:t xml:space="preserve">(2), 151-160. </w:t>
      </w:r>
      <w:hyperlink r:id="rId24" w:history="1">
        <w:r w:rsidRPr="00253B74">
          <w:rPr>
            <w:rStyle w:val="Hyperlink"/>
            <w:rFonts w:cs="Times New Roman"/>
            <w:sz w:val="24"/>
          </w:rPr>
          <w:t>https://doi.org/10.1080/13562511003619979</w:t>
        </w:r>
      </w:hyperlink>
    </w:p>
    <w:p w14:paraId="2CC0278F" w14:textId="77777777" w:rsidR="00652EE3" w:rsidRPr="00652923" w:rsidRDefault="00652EE3" w:rsidP="00652EE3">
      <w:pPr>
        <w:spacing w:line="480" w:lineRule="auto"/>
        <w:ind w:left="709" w:hanging="709"/>
        <w:jc w:val="left"/>
        <w:rPr>
          <w:rStyle w:val="Hyperlink"/>
          <w:rFonts w:cs="Times New Roman"/>
          <w:color w:val="222222"/>
          <w:sz w:val="24"/>
          <w:shd w:val="clear" w:color="auto" w:fill="FFFFFF"/>
        </w:rPr>
      </w:pPr>
      <w:r w:rsidRPr="00253B74">
        <w:rPr>
          <w:rFonts w:cs="Times New Roman"/>
          <w:color w:val="222222"/>
          <w:sz w:val="24"/>
          <w:shd w:val="clear" w:color="auto" w:fill="FFFFFF"/>
        </w:rPr>
        <w:t>Fenton-Smith, B., Humphreys, P., Walkinshaw, I., Michael, R., &amp; Lobo, A. (2017). Implementing a university-wide credit-bearing English language enhancement programme: Issues emerging from practice. </w:t>
      </w:r>
      <w:r w:rsidRPr="00253B74">
        <w:rPr>
          <w:rFonts w:cs="Times New Roman"/>
          <w:i/>
          <w:iCs/>
          <w:color w:val="222222"/>
          <w:sz w:val="24"/>
          <w:shd w:val="clear" w:color="auto" w:fill="FFFFFF"/>
        </w:rPr>
        <w:t>Studies in Higher Education</w:t>
      </w:r>
      <w:r w:rsidRPr="00253B74">
        <w:rPr>
          <w:rFonts w:cs="Times New Roman"/>
          <w:color w:val="222222"/>
          <w:sz w:val="24"/>
          <w:shd w:val="clear" w:color="auto" w:fill="FFFFFF"/>
        </w:rPr>
        <w:t>, </w:t>
      </w:r>
      <w:r w:rsidRPr="00253B74">
        <w:rPr>
          <w:rFonts w:cs="Times New Roman"/>
          <w:i/>
          <w:iCs/>
          <w:color w:val="222222"/>
          <w:sz w:val="24"/>
          <w:shd w:val="clear" w:color="auto" w:fill="FFFFFF"/>
        </w:rPr>
        <w:t>42</w:t>
      </w:r>
      <w:r w:rsidRPr="00253B74">
        <w:rPr>
          <w:rFonts w:cs="Times New Roman"/>
          <w:color w:val="222222"/>
          <w:sz w:val="24"/>
          <w:shd w:val="clear" w:color="auto" w:fill="FFFFFF"/>
        </w:rPr>
        <w:t xml:space="preserve">(3), 463-479. </w:t>
      </w:r>
      <w:r w:rsidRPr="00253B74">
        <w:rPr>
          <w:rStyle w:val="Hyperlink"/>
          <w:rFonts w:cs="Times New Roman"/>
          <w:sz w:val="24"/>
        </w:rPr>
        <w:t>https://doi.org/</w:t>
      </w:r>
      <w:hyperlink r:id="rId25" w:tgtFrame="_blank" w:history="1">
        <w:r w:rsidRPr="00253B74">
          <w:rPr>
            <w:rStyle w:val="Hyperlink"/>
            <w:rFonts w:cs="Times New Roman"/>
            <w:sz w:val="24"/>
          </w:rPr>
          <w:t>10.1080/03075079.2015.1052736</w:t>
        </w:r>
      </w:hyperlink>
    </w:p>
    <w:p w14:paraId="62BA63CD"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253B74">
        <w:rPr>
          <w:rFonts w:cs="Times New Roman"/>
          <w:color w:val="222222"/>
          <w:sz w:val="24"/>
          <w:shd w:val="clear" w:color="auto" w:fill="FFFFFF"/>
        </w:rPr>
        <w:t>Flyvbjerg, B. (2011). Case study. </w:t>
      </w:r>
      <w:r>
        <w:rPr>
          <w:rFonts w:cs="Times New Roman"/>
          <w:color w:val="222222"/>
          <w:sz w:val="24"/>
          <w:shd w:val="clear" w:color="auto" w:fill="FFFFFF"/>
        </w:rPr>
        <w:t xml:space="preserve">In N. K. Denzin &amp; Y. S. Lincoln (Eds.) </w:t>
      </w:r>
      <w:r w:rsidRPr="00253B74">
        <w:rPr>
          <w:rFonts w:cs="Times New Roman"/>
          <w:i/>
          <w:iCs/>
          <w:color w:val="222222"/>
          <w:sz w:val="24"/>
          <w:shd w:val="clear" w:color="auto" w:fill="FFFFFF"/>
        </w:rPr>
        <w:t>The Sage handbook of qualitative research</w:t>
      </w:r>
      <w:r>
        <w:rPr>
          <w:rFonts w:cs="Times New Roman"/>
          <w:color w:val="222222"/>
          <w:sz w:val="24"/>
          <w:shd w:val="clear" w:color="auto" w:fill="FFFFFF"/>
        </w:rPr>
        <w:t xml:space="preserve"> (pp.</w:t>
      </w:r>
      <w:r w:rsidRPr="00253B74">
        <w:rPr>
          <w:rFonts w:cs="Times New Roman"/>
          <w:color w:val="222222"/>
          <w:sz w:val="24"/>
          <w:shd w:val="clear" w:color="auto" w:fill="FFFFFF"/>
        </w:rPr>
        <w:t xml:space="preserve"> 301-316</w:t>
      </w:r>
      <w:r>
        <w:rPr>
          <w:rFonts w:cs="Times New Roman"/>
          <w:color w:val="222222"/>
          <w:sz w:val="24"/>
          <w:shd w:val="clear" w:color="auto" w:fill="FFFFFF"/>
        </w:rPr>
        <w:t>)</w:t>
      </w:r>
      <w:r w:rsidRPr="00253B74">
        <w:rPr>
          <w:rFonts w:cs="Times New Roman"/>
          <w:color w:val="222222"/>
          <w:sz w:val="24"/>
          <w:shd w:val="clear" w:color="auto" w:fill="FFFFFF"/>
        </w:rPr>
        <w:t>. Sage.</w:t>
      </w:r>
    </w:p>
    <w:p w14:paraId="23939AEC"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BC528B">
        <w:rPr>
          <w:rFonts w:cs="Times New Roman"/>
          <w:color w:val="222222"/>
          <w:sz w:val="24"/>
          <w:shd w:val="clear" w:color="auto" w:fill="FFFFFF"/>
        </w:rPr>
        <w:t xml:space="preserve">Freire, P. (1970). </w:t>
      </w:r>
      <w:r w:rsidRPr="00BC528B">
        <w:rPr>
          <w:rFonts w:cs="Times New Roman"/>
          <w:i/>
          <w:iCs/>
          <w:color w:val="222222"/>
          <w:sz w:val="24"/>
          <w:shd w:val="clear" w:color="auto" w:fill="FFFFFF"/>
        </w:rPr>
        <w:t>Pedagogy of the Oppressed</w:t>
      </w:r>
      <w:r w:rsidRPr="00BC528B">
        <w:rPr>
          <w:rFonts w:cs="Times New Roman"/>
          <w:color w:val="222222"/>
          <w:sz w:val="24"/>
          <w:shd w:val="clear" w:color="auto" w:fill="FFFFFF"/>
        </w:rPr>
        <w:t>. Penguin.</w:t>
      </w:r>
    </w:p>
    <w:p w14:paraId="70AB1557" w14:textId="77777777" w:rsidR="00652EE3" w:rsidRPr="00652923" w:rsidRDefault="00652EE3" w:rsidP="00652EE3">
      <w:pPr>
        <w:spacing w:line="480" w:lineRule="auto"/>
        <w:ind w:left="709" w:hanging="709"/>
        <w:jc w:val="left"/>
        <w:rPr>
          <w:rFonts w:cs="Times New Roman"/>
          <w:color w:val="000000"/>
          <w:spacing w:val="-5"/>
          <w:sz w:val="24"/>
        </w:rPr>
      </w:pPr>
      <w:r w:rsidRPr="000954C6">
        <w:rPr>
          <w:rFonts w:cs="Times New Roman"/>
          <w:color w:val="333333"/>
          <w:sz w:val="24"/>
          <w:shd w:val="clear" w:color="auto" w:fill="FCFCFC"/>
        </w:rPr>
        <w:t>Gimenez, J. (2012). Disciplinary epistemologies, generic attributes and undergraduate academic writing in nursing and midwifery. </w:t>
      </w:r>
      <w:r w:rsidRPr="000954C6">
        <w:rPr>
          <w:rFonts w:cs="Times New Roman"/>
          <w:i/>
          <w:iCs/>
          <w:color w:val="333333"/>
          <w:sz w:val="24"/>
          <w:shd w:val="clear" w:color="auto" w:fill="FCFCFC"/>
        </w:rPr>
        <w:t>Higher Education 63</w:t>
      </w:r>
      <w:r w:rsidRPr="000954C6">
        <w:rPr>
          <w:rFonts w:cs="Times New Roman"/>
          <w:color w:val="333333"/>
          <w:sz w:val="24"/>
          <w:shd w:val="clear" w:color="auto" w:fill="FCFCFC"/>
        </w:rPr>
        <w:t xml:space="preserve">, 401–4. </w:t>
      </w:r>
      <w:hyperlink r:id="rId26" w:history="1">
        <w:r w:rsidRPr="000954C6">
          <w:rPr>
            <w:rStyle w:val="Hyperlink"/>
            <w:rFonts w:cs="Times New Roman"/>
            <w:spacing w:val="-5"/>
            <w:sz w:val="24"/>
          </w:rPr>
          <w:t>http://www.jstor.org/stable/41429090</w:t>
        </w:r>
      </w:hyperlink>
    </w:p>
    <w:p w14:paraId="6E5EA0FD" w14:textId="77777777" w:rsidR="00652EE3" w:rsidRPr="00652923" w:rsidRDefault="00652EE3" w:rsidP="00652EE3">
      <w:pPr>
        <w:shd w:val="clear" w:color="auto" w:fill="FFFFFF"/>
        <w:spacing w:line="480" w:lineRule="auto"/>
        <w:ind w:left="709" w:hanging="709"/>
        <w:jc w:val="left"/>
        <w:rPr>
          <w:rFonts w:eastAsia="Times New Roman" w:cs="Times New Roman"/>
          <w:sz w:val="24"/>
          <w:lang w:eastAsia="en-GB"/>
        </w:rPr>
      </w:pPr>
      <w:r w:rsidRPr="000954C6">
        <w:rPr>
          <w:rFonts w:cs="Times New Roman"/>
          <w:color w:val="333333"/>
          <w:sz w:val="24"/>
          <w:shd w:val="clear" w:color="auto" w:fill="FCFCFC"/>
        </w:rPr>
        <w:t xml:space="preserve">Hakim, A. (2023). Subject lecturers’, EAP tutors’ and students’ perspectives on the initial implementation of university-wide academic literacy support in an emerging EMI context. </w:t>
      </w:r>
      <w:r w:rsidRPr="000954C6">
        <w:rPr>
          <w:rFonts w:cs="Times New Roman"/>
          <w:i/>
          <w:iCs/>
          <w:color w:val="333333"/>
          <w:sz w:val="24"/>
          <w:shd w:val="clear" w:color="auto" w:fill="FCFCFC"/>
        </w:rPr>
        <w:t>Journal of Academic Language and Learning,</w:t>
      </w:r>
      <w:r w:rsidRPr="000954C6">
        <w:rPr>
          <w:rFonts w:cs="Times New Roman"/>
          <w:color w:val="333333"/>
          <w:sz w:val="24"/>
          <w:shd w:val="clear" w:color="auto" w:fill="FCFCFC"/>
        </w:rPr>
        <w:t xml:space="preserve"> 17 (1), 19-39. </w:t>
      </w:r>
      <w:hyperlink r:id="rId27" w:history="1">
        <w:r w:rsidRPr="000954C6">
          <w:rPr>
            <w:rStyle w:val="Hyperlink"/>
            <w:rFonts w:cs="Times New Roman"/>
            <w:sz w:val="24"/>
            <w:shd w:val="clear" w:color="auto" w:fill="FFFFFF"/>
          </w:rPr>
          <w:t>https://journal.aall.org.au/index.php/jall/article/view/879</w:t>
        </w:r>
      </w:hyperlink>
      <w:r w:rsidRPr="00652923">
        <w:rPr>
          <w:rFonts w:eastAsia="Times New Roman" w:cs="Times New Roman"/>
          <w:sz w:val="24"/>
          <w:lang w:eastAsia="en-GB"/>
        </w:rPr>
        <w:t xml:space="preserve"> </w:t>
      </w:r>
    </w:p>
    <w:p w14:paraId="3F5309D0"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0954C6">
        <w:rPr>
          <w:rFonts w:cs="Times New Roman"/>
          <w:color w:val="222222"/>
          <w:sz w:val="24"/>
          <w:shd w:val="clear" w:color="auto" w:fill="FFFFFF"/>
        </w:rPr>
        <w:t>Haggis, T. (2006). Pedagogies for diversity: Retaining critical challenge amidst fears of ‘dumbing down’. </w:t>
      </w:r>
      <w:r w:rsidRPr="000954C6">
        <w:rPr>
          <w:rFonts w:cs="Times New Roman"/>
          <w:i/>
          <w:iCs/>
          <w:color w:val="222222"/>
          <w:sz w:val="24"/>
          <w:shd w:val="clear" w:color="auto" w:fill="FFFFFF"/>
        </w:rPr>
        <w:t>Studies in Higher Education</w:t>
      </w:r>
      <w:r w:rsidRPr="000954C6">
        <w:rPr>
          <w:rFonts w:cs="Times New Roman"/>
          <w:color w:val="222222"/>
          <w:sz w:val="24"/>
          <w:shd w:val="clear" w:color="auto" w:fill="FFFFFF"/>
        </w:rPr>
        <w:t>, </w:t>
      </w:r>
      <w:r w:rsidRPr="000954C6">
        <w:rPr>
          <w:rFonts w:cs="Times New Roman"/>
          <w:i/>
          <w:iCs/>
          <w:color w:val="222222"/>
          <w:sz w:val="24"/>
          <w:shd w:val="clear" w:color="auto" w:fill="FFFFFF"/>
        </w:rPr>
        <w:t>31</w:t>
      </w:r>
      <w:r w:rsidRPr="000954C6">
        <w:rPr>
          <w:rFonts w:cs="Times New Roman"/>
          <w:color w:val="222222"/>
          <w:sz w:val="24"/>
          <w:shd w:val="clear" w:color="auto" w:fill="FFFFFF"/>
        </w:rPr>
        <w:t xml:space="preserve">(5), 521-535. </w:t>
      </w:r>
      <w:hyperlink r:id="rId28" w:history="1">
        <w:r w:rsidRPr="000954C6">
          <w:rPr>
            <w:rStyle w:val="Hyperlink"/>
            <w:rFonts w:cs="Times New Roman"/>
            <w:sz w:val="24"/>
          </w:rPr>
          <w:t>https://doi.org/10.1080/03075070600922709</w:t>
        </w:r>
      </w:hyperlink>
    </w:p>
    <w:p w14:paraId="6FAC4CCC"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3B292D">
        <w:rPr>
          <w:rFonts w:cs="Times New Roman"/>
          <w:color w:val="222222"/>
          <w:sz w:val="24"/>
          <w:shd w:val="clear" w:color="auto" w:fill="FFFFFF"/>
        </w:rPr>
        <w:t>Hathaway, J. (2015). Developing that voice: Locating academic writing tuition in the mainstream of higher education. </w:t>
      </w:r>
      <w:r w:rsidRPr="003B292D">
        <w:rPr>
          <w:rFonts w:cs="Times New Roman"/>
          <w:i/>
          <w:iCs/>
          <w:color w:val="222222"/>
          <w:sz w:val="24"/>
          <w:shd w:val="clear" w:color="auto" w:fill="FFFFFF"/>
        </w:rPr>
        <w:t>Teaching in Higher Education</w:t>
      </w:r>
      <w:r w:rsidRPr="003B292D">
        <w:rPr>
          <w:rFonts w:cs="Times New Roman"/>
          <w:color w:val="222222"/>
          <w:sz w:val="24"/>
          <w:shd w:val="clear" w:color="auto" w:fill="FFFFFF"/>
        </w:rPr>
        <w:t>, </w:t>
      </w:r>
      <w:r w:rsidRPr="003B292D">
        <w:rPr>
          <w:rFonts w:cs="Times New Roman"/>
          <w:i/>
          <w:iCs/>
          <w:color w:val="222222"/>
          <w:sz w:val="24"/>
          <w:shd w:val="clear" w:color="auto" w:fill="FFFFFF"/>
        </w:rPr>
        <w:t>20</w:t>
      </w:r>
      <w:r w:rsidRPr="003B292D">
        <w:rPr>
          <w:rFonts w:cs="Times New Roman"/>
          <w:color w:val="222222"/>
          <w:sz w:val="24"/>
          <w:shd w:val="clear" w:color="auto" w:fill="FFFFFF"/>
        </w:rPr>
        <w:t xml:space="preserve">(5), 506-517. </w:t>
      </w:r>
      <w:r w:rsidRPr="003B292D">
        <w:rPr>
          <w:rStyle w:val="Hyperlink"/>
          <w:rFonts w:cs="Times New Roman"/>
          <w:sz w:val="24"/>
        </w:rPr>
        <w:t>https://doi.org/</w:t>
      </w:r>
      <w:hyperlink r:id="rId29" w:tgtFrame="_blank" w:history="1">
        <w:r w:rsidRPr="003B292D">
          <w:rPr>
            <w:rStyle w:val="Hyperlink"/>
            <w:rFonts w:cs="Times New Roman"/>
            <w:sz w:val="24"/>
          </w:rPr>
          <w:t>10.1080/13562517.2015.1026891</w:t>
        </w:r>
      </w:hyperlink>
    </w:p>
    <w:p w14:paraId="400B1EF4"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3B292D">
        <w:rPr>
          <w:rFonts w:cs="Times New Roman"/>
          <w:color w:val="222222"/>
          <w:sz w:val="24"/>
          <w:shd w:val="clear" w:color="auto" w:fill="FFFFFF"/>
        </w:rPr>
        <w:t xml:space="preserve">Haugh, M., &amp; Bargiela-Chiappini, F. (2010). Face in interaction. </w:t>
      </w:r>
      <w:r w:rsidRPr="003B292D">
        <w:rPr>
          <w:rFonts w:cs="Times New Roman"/>
          <w:i/>
          <w:iCs/>
          <w:color w:val="222222"/>
          <w:sz w:val="24"/>
          <w:shd w:val="clear" w:color="auto" w:fill="FFFFFF"/>
        </w:rPr>
        <w:t>Journal of Pragmatics</w:t>
      </w:r>
      <w:r w:rsidRPr="003B292D">
        <w:rPr>
          <w:rFonts w:cs="Times New Roman"/>
          <w:color w:val="222222"/>
          <w:sz w:val="24"/>
          <w:shd w:val="clear" w:color="auto" w:fill="FFFFFF"/>
        </w:rPr>
        <w:t>, 42(8), 2073-2077</w:t>
      </w:r>
      <w:r w:rsidRPr="003B292D">
        <w:rPr>
          <w:rStyle w:val="Hyperlink"/>
          <w:rFonts w:cs="Times New Roman"/>
          <w:sz w:val="24"/>
        </w:rPr>
        <w:t>. https://doi.org/</w:t>
      </w:r>
      <w:hyperlink r:id="rId30" w:tgtFrame="_blank" w:history="1">
        <w:r w:rsidRPr="003B292D">
          <w:rPr>
            <w:rStyle w:val="Hyperlink"/>
            <w:rFonts w:cs="Times New Roman"/>
            <w:sz w:val="24"/>
          </w:rPr>
          <w:t>10.1016/j.pragma.2009.12.013</w:t>
        </w:r>
      </w:hyperlink>
    </w:p>
    <w:p w14:paraId="05AF3F66"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3B292D">
        <w:rPr>
          <w:rFonts w:cs="Times New Roman"/>
          <w:color w:val="222222"/>
          <w:sz w:val="24"/>
          <w:shd w:val="clear" w:color="auto" w:fill="FFFFFF"/>
        </w:rPr>
        <w:t>Heron, M., Dippold, D., Aksit, N., Aksit, T., Doubleday, J., &amp; McKeown, K. (2021). Tutors’ beliefs about language and roles: Practice as language policy in EMI contexts. </w:t>
      </w:r>
      <w:r w:rsidRPr="003B292D">
        <w:rPr>
          <w:rFonts w:cs="Times New Roman"/>
          <w:i/>
          <w:iCs/>
          <w:color w:val="222222"/>
          <w:sz w:val="24"/>
          <w:shd w:val="clear" w:color="auto" w:fill="FFFFFF"/>
        </w:rPr>
        <w:t>Teaching in Higher Education</w:t>
      </w:r>
      <w:r w:rsidRPr="003B292D">
        <w:rPr>
          <w:rFonts w:cs="Times New Roman"/>
          <w:color w:val="222222"/>
          <w:sz w:val="24"/>
          <w:shd w:val="clear" w:color="auto" w:fill="FFFFFF"/>
        </w:rPr>
        <w:t xml:space="preserve">, 1-15. </w:t>
      </w:r>
      <w:r w:rsidRPr="003B292D">
        <w:rPr>
          <w:rStyle w:val="Hyperlink"/>
          <w:rFonts w:cs="Times New Roman"/>
          <w:sz w:val="24"/>
        </w:rPr>
        <w:t>https://doi.org/</w:t>
      </w:r>
      <w:hyperlink r:id="rId31" w:tgtFrame="_blank" w:history="1">
        <w:r w:rsidRPr="003B292D">
          <w:rPr>
            <w:rStyle w:val="Hyperlink"/>
            <w:rFonts w:cs="Times New Roman"/>
            <w:sz w:val="24"/>
          </w:rPr>
          <w:t>10.1080/13562517.2021.1973410</w:t>
        </w:r>
      </w:hyperlink>
    </w:p>
    <w:p w14:paraId="2F1FEDD8" w14:textId="77777777" w:rsidR="00652EE3" w:rsidRPr="00652923" w:rsidRDefault="00652EE3" w:rsidP="00652EE3">
      <w:pPr>
        <w:spacing w:line="480" w:lineRule="auto"/>
        <w:ind w:left="709" w:hanging="709"/>
        <w:jc w:val="left"/>
        <w:rPr>
          <w:rFonts w:cs="Times New Roman"/>
          <w:sz w:val="24"/>
        </w:rPr>
      </w:pPr>
      <w:r w:rsidRPr="00ED6C9F">
        <w:rPr>
          <w:rFonts w:cs="Times New Roman"/>
          <w:sz w:val="24"/>
        </w:rPr>
        <w:t xml:space="preserve">Higher Education Academy (2011). The UK professional standards framework for teaching and supporting learning in higher education. </w:t>
      </w:r>
      <w:hyperlink r:id="rId32" w:history="1">
        <w:r w:rsidRPr="00B02848">
          <w:rPr>
            <w:rStyle w:val="Hyperlink"/>
            <w:rFonts w:cs="Times New Roman"/>
            <w:sz w:val="24"/>
          </w:rPr>
          <w:t>https://s3.eu-west-2.amazonaws.com/assets.creode.advancehe-document-manager/documents/advance-he/UK%20Professional%20Standards%20Framework_1570613241.pdf</w:t>
        </w:r>
      </w:hyperlink>
    </w:p>
    <w:p w14:paraId="76F43D60" w14:textId="77777777" w:rsidR="00652EE3" w:rsidRPr="00B02848" w:rsidRDefault="00652EE3" w:rsidP="00652EE3">
      <w:pPr>
        <w:spacing w:line="480" w:lineRule="auto"/>
        <w:ind w:left="709" w:hanging="709"/>
        <w:jc w:val="left"/>
        <w:rPr>
          <w:rFonts w:cs="Times New Roman"/>
          <w:sz w:val="24"/>
          <w:shd w:val="clear" w:color="auto" w:fill="FFFFFF"/>
        </w:rPr>
      </w:pPr>
      <w:r w:rsidRPr="00B02848">
        <w:rPr>
          <w:rFonts w:cs="Times New Roman"/>
          <w:sz w:val="24"/>
        </w:rPr>
        <w:t>Hoadley, S., &amp; Hunter, K. (2018). Whole of institution academic language and learning practice: Systemic implications. </w:t>
      </w:r>
      <w:r w:rsidRPr="00B02848">
        <w:rPr>
          <w:rFonts w:cs="Times New Roman"/>
          <w:i/>
          <w:iCs/>
          <w:sz w:val="24"/>
        </w:rPr>
        <w:t>Journal of Academic Language and Learning, 12</w:t>
      </w:r>
      <w:r w:rsidRPr="00B02848">
        <w:rPr>
          <w:rFonts w:cs="Times New Roman"/>
          <w:sz w:val="24"/>
        </w:rPr>
        <w:t xml:space="preserve">(1), A48-A63. </w:t>
      </w:r>
      <w:r w:rsidRPr="00B02848">
        <w:rPr>
          <w:rFonts w:cs="Times New Roman"/>
          <w:sz w:val="24"/>
          <w:shd w:val="clear" w:color="auto" w:fill="FFFFFF"/>
        </w:rPr>
        <w:t xml:space="preserve">Retrieved from </w:t>
      </w:r>
      <w:hyperlink r:id="rId33" w:history="1">
        <w:r w:rsidRPr="00B02848">
          <w:rPr>
            <w:rStyle w:val="Hyperlink"/>
            <w:rFonts w:cs="Times New Roman"/>
            <w:sz w:val="24"/>
            <w:shd w:val="clear" w:color="auto" w:fill="FFFFFF"/>
          </w:rPr>
          <w:t>https://journal.aall.org.au/index.php/jall/article/view/534</w:t>
        </w:r>
      </w:hyperlink>
    </w:p>
    <w:p w14:paraId="12E377C6"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B02848">
        <w:rPr>
          <w:rFonts w:cs="Times New Roman"/>
          <w:color w:val="222222"/>
          <w:sz w:val="24"/>
          <w:shd w:val="clear" w:color="auto" w:fill="FFFFFF"/>
        </w:rPr>
        <w:t>Hyland, K. (2004). </w:t>
      </w:r>
      <w:r w:rsidRPr="00B02848">
        <w:rPr>
          <w:rFonts w:cs="Times New Roman"/>
          <w:i/>
          <w:iCs/>
          <w:color w:val="222222"/>
          <w:sz w:val="24"/>
          <w:shd w:val="clear" w:color="auto" w:fill="FFFFFF"/>
        </w:rPr>
        <w:t>Disciplinary discourses: Social interactions in academic writing</w:t>
      </w:r>
      <w:r w:rsidRPr="00B02848">
        <w:rPr>
          <w:rFonts w:cs="Times New Roman"/>
          <w:color w:val="222222"/>
          <w:sz w:val="24"/>
          <w:shd w:val="clear" w:color="auto" w:fill="FFFFFF"/>
        </w:rPr>
        <w:t>. University of Michigan Press.</w:t>
      </w:r>
    </w:p>
    <w:p w14:paraId="3B76AFFC"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B02848">
        <w:rPr>
          <w:rFonts w:cs="Times New Roman"/>
          <w:color w:val="222222"/>
          <w:sz w:val="24"/>
          <w:shd w:val="clear" w:color="auto" w:fill="FFFFFF"/>
        </w:rPr>
        <w:t>Johns, A. M. (1997). </w:t>
      </w:r>
      <w:r w:rsidRPr="00B02848">
        <w:rPr>
          <w:rFonts w:cs="Times New Roman"/>
          <w:i/>
          <w:iCs/>
          <w:color w:val="222222"/>
          <w:sz w:val="24"/>
          <w:shd w:val="clear" w:color="auto" w:fill="FFFFFF"/>
        </w:rPr>
        <w:t>Text, role and context: Developing academic literacies</w:t>
      </w:r>
      <w:r w:rsidRPr="00B02848">
        <w:rPr>
          <w:rFonts w:cs="Times New Roman"/>
          <w:color w:val="222222"/>
          <w:sz w:val="24"/>
          <w:shd w:val="clear" w:color="auto" w:fill="FFFFFF"/>
        </w:rPr>
        <w:t>. Cambridge University Press.</w:t>
      </w:r>
    </w:p>
    <w:p w14:paraId="534A3435" w14:textId="77777777" w:rsidR="00652EE3" w:rsidRDefault="00652EE3" w:rsidP="00652EE3">
      <w:pPr>
        <w:spacing w:line="480" w:lineRule="auto"/>
        <w:ind w:left="709" w:hanging="709"/>
        <w:jc w:val="left"/>
        <w:rPr>
          <w:rStyle w:val="Hyperlink"/>
          <w:rFonts w:cs="Times New Roman"/>
          <w:sz w:val="24"/>
          <w:shd w:val="clear" w:color="auto" w:fill="FFFFFF"/>
        </w:rPr>
      </w:pPr>
      <w:r w:rsidRPr="00B02848">
        <w:rPr>
          <w:rFonts w:cs="Times New Roman"/>
          <w:color w:val="333333"/>
          <w:sz w:val="24"/>
          <w:shd w:val="clear" w:color="auto" w:fill="FCFCFC"/>
        </w:rPr>
        <w:t>Kuteeva, M., &amp; Airey, J. (2014). Disciplinary differences in the use of English in higher education: Reflections on recent language policy developments. </w:t>
      </w:r>
      <w:r w:rsidRPr="00B02848">
        <w:rPr>
          <w:rFonts w:cs="Times New Roman"/>
          <w:i/>
          <w:iCs/>
          <w:color w:val="333333"/>
          <w:sz w:val="24"/>
          <w:shd w:val="clear" w:color="auto" w:fill="FCFCFC"/>
        </w:rPr>
        <w:t>Higher Education</w:t>
      </w:r>
      <w:r w:rsidRPr="00B02848">
        <w:rPr>
          <w:rFonts w:cs="Times New Roman"/>
          <w:color w:val="333333"/>
          <w:sz w:val="24"/>
          <w:shd w:val="clear" w:color="auto" w:fill="FCFCFC"/>
        </w:rPr>
        <w:t xml:space="preserve">, 67, 533–549. </w:t>
      </w:r>
      <w:r w:rsidRPr="00B02848">
        <w:rPr>
          <w:rStyle w:val="Hyperlink"/>
          <w:rFonts w:cs="Times New Roman"/>
          <w:sz w:val="24"/>
          <w:shd w:val="clear" w:color="auto" w:fill="FFFFFF"/>
        </w:rPr>
        <w:t>https://doi.org/</w:t>
      </w:r>
      <w:hyperlink r:id="rId34" w:tgtFrame="_blank" w:history="1">
        <w:r w:rsidRPr="00B02848">
          <w:rPr>
            <w:rStyle w:val="Hyperlink"/>
            <w:rFonts w:cs="Times New Roman"/>
            <w:sz w:val="24"/>
            <w:shd w:val="clear" w:color="auto" w:fill="FFFFFF"/>
          </w:rPr>
          <w:t>10.1007/s10734-013-9660-6.</w:t>
        </w:r>
      </w:hyperlink>
    </w:p>
    <w:p w14:paraId="60C1B10A" w14:textId="77777777" w:rsidR="00652EE3" w:rsidRPr="00B02848" w:rsidRDefault="00652EE3" w:rsidP="00652EE3">
      <w:pPr>
        <w:spacing w:line="480" w:lineRule="auto"/>
        <w:ind w:left="709" w:hanging="709"/>
        <w:jc w:val="left"/>
        <w:rPr>
          <w:rFonts w:cs="Times New Roman"/>
          <w:color w:val="333333"/>
          <w:sz w:val="24"/>
          <w:shd w:val="clear" w:color="auto" w:fill="FFFFFF"/>
        </w:rPr>
      </w:pPr>
      <w:r w:rsidRPr="00B02848">
        <w:rPr>
          <w:rStyle w:val="authorname0"/>
          <w:rFonts w:cs="Times New Roman"/>
          <w:color w:val="333333"/>
          <w:sz w:val="24"/>
          <w:shd w:val="clear" w:color="auto" w:fill="FFFFFF"/>
        </w:rPr>
        <w:t>Li, Y.</w:t>
      </w:r>
      <w:r w:rsidRPr="00B02848">
        <w:rPr>
          <w:rFonts w:cs="Times New Roman"/>
          <w:color w:val="333333"/>
          <w:sz w:val="24"/>
          <w:shd w:val="clear" w:color="auto" w:fill="FFFFFF"/>
        </w:rPr>
        <w:t> </w:t>
      </w:r>
      <w:r w:rsidRPr="00B02848">
        <w:rPr>
          <w:rStyle w:val="Date1"/>
          <w:rFonts w:cs="Times New Roman"/>
          <w:color w:val="333333"/>
          <w:sz w:val="24"/>
          <w:shd w:val="clear" w:color="auto" w:fill="FFFFFF"/>
        </w:rPr>
        <w:t>(2020)</w:t>
      </w:r>
      <w:r w:rsidRPr="00B02848">
        <w:rPr>
          <w:rFonts w:cs="Times New Roman"/>
          <w:color w:val="333333"/>
          <w:sz w:val="24"/>
          <w:shd w:val="clear" w:color="auto" w:fill="FFFFFF"/>
        </w:rPr>
        <w:t> </w:t>
      </w:r>
      <w:r w:rsidRPr="00B02848">
        <w:rPr>
          <w:rStyle w:val="arttitle"/>
          <w:rFonts w:cs="Times New Roman"/>
          <w:color w:val="333333"/>
          <w:sz w:val="24"/>
          <w:shd w:val="clear" w:color="auto" w:fill="FFFFFF"/>
        </w:rPr>
        <w:t>Language–content partnership in higher education: Development and opportunities.</w:t>
      </w:r>
      <w:r w:rsidRPr="00B02848">
        <w:rPr>
          <w:rFonts w:cs="Times New Roman"/>
          <w:color w:val="333333"/>
          <w:sz w:val="24"/>
          <w:shd w:val="clear" w:color="auto" w:fill="FFFFFF"/>
        </w:rPr>
        <w:t> </w:t>
      </w:r>
      <w:r w:rsidRPr="00B02848">
        <w:rPr>
          <w:rStyle w:val="serialtitle"/>
          <w:rFonts w:cs="Times New Roman"/>
          <w:i/>
          <w:iCs/>
          <w:color w:val="333333"/>
          <w:sz w:val="24"/>
          <w:shd w:val="clear" w:color="auto" w:fill="FFFFFF"/>
        </w:rPr>
        <w:t>Higher Education Research and Developm</w:t>
      </w:r>
      <w:r w:rsidRPr="00B02848">
        <w:rPr>
          <w:rStyle w:val="serialtitle"/>
          <w:rFonts w:cs="Times New Roman"/>
          <w:color w:val="333333"/>
          <w:sz w:val="24"/>
          <w:shd w:val="clear" w:color="auto" w:fill="FFFFFF"/>
        </w:rPr>
        <w:t>ent,</w:t>
      </w:r>
      <w:r w:rsidRPr="00B02848">
        <w:rPr>
          <w:rFonts w:cs="Times New Roman"/>
          <w:color w:val="333333"/>
          <w:sz w:val="24"/>
          <w:shd w:val="clear" w:color="auto" w:fill="FFFFFF"/>
        </w:rPr>
        <w:t> </w:t>
      </w:r>
      <w:r w:rsidRPr="00B02848">
        <w:rPr>
          <w:rStyle w:val="volumeissue"/>
          <w:rFonts w:cs="Times New Roman"/>
          <w:color w:val="333333"/>
          <w:sz w:val="24"/>
          <w:shd w:val="clear" w:color="auto" w:fill="FFFFFF"/>
        </w:rPr>
        <w:t>39(3),</w:t>
      </w:r>
      <w:r w:rsidRPr="00B02848">
        <w:rPr>
          <w:rFonts w:cs="Times New Roman"/>
          <w:color w:val="333333"/>
          <w:sz w:val="24"/>
          <w:shd w:val="clear" w:color="auto" w:fill="FFFFFF"/>
        </w:rPr>
        <w:t> </w:t>
      </w:r>
      <w:r w:rsidRPr="00B02848">
        <w:rPr>
          <w:rStyle w:val="pagerange"/>
          <w:rFonts w:cs="Times New Roman"/>
          <w:color w:val="333333"/>
          <w:sz w:val="24"/>
          <w:shd w:val="clear" w:color="auto" w:fill="FFFFFF"/>
        </w:rPr>
        <w:t xml:space="preserve">500-514. </w:t>
      </w:r>
      <w:hyperlink r:id="rId35" w:history="1">
        <w:r w:rsidRPr="00B02848">
          <w:rPr>
            <w:rStyle w:val="Hyperlink"/>
            <w:rFonts w:cs="Times New Roman"/>
            <w:sz w:val="24"/>
          </w:rPr>
          <w:t>https://doi.org/10.1080/07294360.2019.1685947</w:t>
        </w:r>
      </w:hyperlink>
    </w:p>
    <w:p w14:paraId="01B1BA08" w14:textId="77777777" w:rsidR="00652EE3" w:rsidRPr="001424B4" w:rsidRDefault="00652EE3" w:rsidP="00652EE3">
      <w:pPr>
        <w:spacing w:line="480" w:lineRule="auto"/>
        <w:ind w:left="709" w:hanging="709"/>
        <w:jc w:val="left"/>
        <w:rPr>
          <w:rFonts w:cs="Times New Roman"/>
          <w:color w:val="333333"/>
          <w:sz w:val="24"/>
          <w:shd w:val="clear" w:color="auto" w:fill="FFFFFF"/>
        </w:rPr>
      </w:pPr>
      <w:r w:rsidRPr="00B02848">
        <w:rPr>
          <w:rFonts w:cs="Times New Roman"/>
          <w:color w:val="222222"/>
          <w:sz w:val="24"/>
          <w:shd w:val="clear" w:color="auto" w:fill="FFFFFF"/>
        </w:rPr>
        <w:t>Lillis, T. M. (2001). </w:t>
      </w:r>
      <w:r w:rsidRPr="00B02848">
        <w:rPr>
          <w:rFonts w:cs="Times New Roman"/>
          <w:i/>
          <w:iCs/>
          <w:color w:val="222222"/>
          <w:sz w:val="24"/>
          <w:shd w:val="clear" w:color="auto" w:fill="FFFFFF"/>
        </w:rPr>
        <w:t>Student writing: Access, regulation, desire.</w:t>
      </w:r>
      <w:r w:rsidRPr="00B02848">
        <w:rPr>
          <w:rFonts w:cs="Times New Roman"/>
          <w:color w:val="222222"/>
          <w:sz w:val="24"/>
          <w:shd w:val="clear" w:color="auto" w:fill="FFFFFF"/>
        </w:rPr>
        <w:t xml:space="preserve"> Routledge.</w:t>
      </w:r>
    </w:p>
    <w:p w14:paraId="1A3A7FE1" w14:textId="77777777" w:rsidR="00652EE3" w:rsidRPr="00652923" w:rsidRDefault="00652EE3" w:rsidP="00652EE3">
      <w:pPr>
        <w:spacing w:line="480" w:lineRule="auto"/>
        <w:ind w:left="709" w:hanging="709"/>
        <w:jc w:val="left"/>
        <w:rPr>
          <w:rStyle w:val="Hyperlink"/>
          <w:rFonts w:cs="Times New Roman"/>
          <w:sz w:val="24"/>
        </w:rPr>
      </w:pPr>
      <w:r w:rsidRPr="00B02848">
        <w:rPr>
          <w:rFonts w:cs="Times New Roman"/>
          <w:color w:val="222222"/>
          <w:sz w:val="24"/>
          <w:shd w:val="clear" w:color="auto" w:fill="FFFFFF"/>
        </w:rPr>
        <w:t>Lillis, T., &amp; Turner, J. (2001). Student writing in higher education: Contemporary confusion, traditional concerns. </w:t>
      </w:r>
      <w:r w:rsidRPr="00B02848">
        <w:rPr>
          <w:rFonts w:cs="Times New Roman"/>
          <w:i/>
          <w:iCs/>
          <w:color w:val="222222"/>
          <w:sz w:val="24"/>
          <w:shd w:val="clear" w:color="auto" w:fill="FFFFFF"/>
        </w:rPr>
        <w:t>Teaching in Higher Education</w:t>
      </w:r>
      <w:r w:rsidRPr="00B02848">
        <w:rPr>
          <w:rFonts w:cs="Times New Roman"/>
          <w:color w:val="222222"/>
          <w:sz w:val="24"/>
          <w:shd w:val="clear" w:color="auto" w:fill="FFFFFF"/>
        </w:rPr>
        <w:t>, </w:t>
      </w:r>
      <w:r w:rsidRPr="00B02848">
        <w:rPr>
          <w:rFonts w:cs="Times New Roman"/>
          <w:i/>
          <w:iCs/>
          <w:color w:val="222222"/>
          <w:sz w:val="24"/>
          <w:shd w:val="clear" w:color="auto" w:fill="FFFFFF"/>
        </w:rPr>
        <w:t>6</w:t>
      </w:r>
      <w:r w:rsidRPr="00B02848">
        <w:rPr>
          <w:rFonts w:cs="Times New Roman"/>
          <w:color w:val="222222"/>
          <w:sz w:val="24"/>
          <w:shd w:val="clear" w:color="auto" w:fill="FFFFFF"/>
        </w:rPr>
        <w:t xml:space="preserve">(1), 57-68. </w:t>
      </w:r>
      <w:hyperlink r:id="rId36" w:history="1">
        <w:r w:rsidRPr="00B02848">
          <w:rPr>
            <w:rStyle w:val="Hyperlink"/>
            <w:rFonts w:cs="Times New Roman"/>
            <w:sz w:val="24"/>
          </w:rPr>
          <w:t>https://doi.org/10.1080/13562510020029608</w:t>
        </w:r>
      </w:hyperlink>
    </w:p>
    <w:p w14:paraId="51488C58" w14:textId="77777777" w:rsidR="00652EE3" w:rsidRPr="00F75BF8" w:rsidRDefault="00652EE3" w:rsidP="00652EE3">
      <w:pPr>
        <w:spacing w:line="480" w:lineRule="auto"/>
        <w:ind w:left="709" w:hanging="709"/>
        <w:jc w:val="left"/>
        <w:rPr>
          <w:rFonts w:cs="Times New Roman"/>
          <w:color w:val="222222"/>
          <w:sz w:val="24"/>
          <w:shd w:val="clear" w:color="auto" w:fill="FFFFFF"/>
        </w:rPr>
      </w:pPr>
      <w:r w:rsidRPr="00B02848">
        <w:rPr>
          <w:rFonts w:cs="Times New Roman"/>
          <w:color w:val="222222"/>
          <w:sz w:val="24"/>
          <w:shd w:val="clear" w:color="auto" w:fill="FFFFFF"/>
        </w:rPr>
        <w:t>Macnaught, L., Bassett, M., van der Ham, V., Milne, J., &amp; Jenkin, C. (2022). Sustainable embedded academic literacy development: The gradual handover of literacy teaching. </w:t>
      </w:r>
      <w:r w:rsidRPr="00B02848">
        <w:rPr>
          <w:rFonts w:cs="Times New Roman"/>
          <w:i/>
          <w:iCs/>
          <w:color w:val="222222"/>
          <w:sz w:val="24"/>
          <w:shd w:val="clear" w:color="auto" w:fill="FFFFFF"/>
        </w:rPr>
        <w:t>Teaching in Higher Education</w:t>
      </w:r>
      <w:r w:rsidRPr="00B02848">
        <w:rPr>
          <w:rFonts w:cs="Times New Roman"/>
          <w:color w:val="222222"/>
          <w:sz w:val="24"/>
          <w:shd w:val="clear" w:color="auto" w:fill="FFFFFF"/>
        </w:rPr>
        <w:t xml:space="preserve">, 1-19. </w:t>
      </w:r>
      <w:r w:rsidRPr="00B02848">
        <w:rPr>
          <w:rStyle w:val="Hyperlink"/>
        </w:rPr>
        <w:t>https://</w:t>
      </w:r>
      <w:hyperlink r:id="rId37" w:tgtFrame="_blank" w:history="1">
        <w:r w:rsidRPr="00B02848">
          <w:rPr>
            <w:rStyle w:val="Hyperlink"/>
            <w:rFonts w:cs="Times New Roman"/>
            <w:sz w:val="24"/>
            <w:shd w:val="clear" w:color="auto" w:fill="FFFFFF"/>
          </w:rPr>
          <w:t>10.1080/13562517.2022.2048369</w:t>
        </w:r>
      </w:hyperlink>
    </w:p>
    <w:p w14:paraId="673CDFE3" w14:textId="77777777" w:rsidR="00652EE3" w:rsidRPr="00652923" w:rsidRDefault="00652EE3" w:rsidP="00652EE3">
      <w:pPr>
        <w:spacing w:line="480" w:lineRule="auto"/>
        <w:ind w:left="709" w:hanging="709"/>
        <w:jc w:val="left"/>
        <w:rPr>
          <w:rFonts w:cs="Times New Roman"/>
          <w:sz w:val="24"/>
          <w:shd w:val="clear" w:color="auto" w:fill="FFFFFF"/>
        </w:rPr>
      </w:pPr>
      <w:r w:rsidRPr="00B02848">
        <w:rPr>
          <w:rFonts w:cs="Times New Roman"/>
          <w:color w:val="222222"/>
          <w:sz w:val="24"/>
          <w:shd w:val="clear" w:color="auto" w:fill="FFFFFF"/>
          <w:lang w:val="en-AU"/>
        </w:rPr>
        <w:t xml:space="preserve">Maldoni, A.  (2017). A cross-disciplinary approach to embedding: A pedagogy for developing academic literacies. </w:t>
      </w:r>
      <w:r w:rsidRPr="00B02848">
        <w:rPr>
          <w:rFonts w:cs="Times New Roman"/>
          <w:i/>
          <w:iCs/>
          <w:color w:val="222222"/>
          <w:sz w:val="24"/>
          <w:shd w:val="clear" w:color="auto" w:fill="FFFFFF"/>
          <w:lang w:val="en-AU"/>
        </w:rPr>
        <w:t>Journal of Academic Language and Learning, 11</w:t>
      </w:r>
      <w:r w:rsidRPr="00B02848">
        <w:rPr>
          <w:rFonts w:cs="Times New Roman"/>
          <w:color w:val="222222"/>
          <w:sz w:val="24"/>
          <w:shd w:val="clear" w:color="auto" w:fill="FFFFFF"/>
          <w:lang w:val="en-AU"/>
        </w:rPr>
        <w:t>(1), A104-A124.</w:t>
      </w:r>
      <w:r w:rsidRPr="00B02848">
        <w:rPr>
          <w:rFonts w:cs="Times New Roman"/>
          <w:sz w:val="24"/>
          <w:shd w:val="clear" w:color="auto" w:fill="FFFFFF"/>
        </w:rPr>
        <w:t xml:space="preserve"> </w:t>
      </w:r>
      <w:hyperlink r:id="rId38" w:history="1">
        <w:r w:rsidRPr="00B02848">
          <w:rPr>
            <w:rStyle w:val="Hyperlink"/>
            <w:rFonts w:cs="Times New Roman"/>
            <w:sz w:val="24"/>
            <w:shd w:val="clear" w:color="auto" w:fill="FFFFFF"/>
          </w:rPr>
          <w:t>https://journal.aall.org.au/index.php/jall/article/view/422</w:t>
        </w:r>
      </w:hyperlink>
    </w:p>
    <w:p w14:paraId="2565F217" w14:textId="77777777" w:rsidR="00652EE3" w:rsidRPr="00652923" w:rsidRDefault="00652EE3" w:rsidP="00652EE3">
      <w:pPr>
        <w:spacing w:line="480" w:lineRule="auto"/>
        <w:ind w:left="709" w:hanging="709"/>
        <w:jc w:val="left"/>
        <w:rPr>
          <w:rFonts w:cs="Times New Roman"/>
          <w:sz w:val="24"/>
          <w:shd w:val="clear" w:color="auto" w:fill="FFFFFF"/>
        </w:rPr>
      </w:pPr>
      <w:bookmarkStart w:id="1" w:name="_Hlk125966317"/>
      <w:r w:rsidRPr="00057960">
        <w:rPr>
          <w:rFonts w:cs="Times New Roman"/>
          <w:color w:val="222222"/>
          <w:sz w:val="24"/>
          <w:shd w:val="clear" w:color="auto" w:fill="FFFFFF"/>
          <w:lang w:val="en-AU"/>
        </w:rPr>
        <w:t>Maldoni, A. M. (2018). Degrees of deception to degrees of proficiency: Embedding academic literacies into the disciplines. </w:t>
      </w:r>
      <w:r w:rsidRPr="00057960">
        <w:rPr>
          <w:rFonts w:cs="Times New Roman"/>
          <w:i/>
          <w:iCs/>
          <w:color w:val="222222"/>
          <w:sz w:val="24"/>
          <w:shd w:val="clear" w:color="auto" w:fill="FFFFFF"/>
          <w:lang w:val="en-AU"/>
        </w:rPr>
        <w:t>Journal of Academic Language and Learning, 12</w:t>
      </w:r>
      <w:r w:rsidRPr="00057960">
        <w:rPr>
          <w:rFonts w:cs="Times New Roman"/>
          <w:color w:val="222222"/>
          <w:sz w:val="24"/>
          <w:shd w:val="clear" w:color="auto" w:fill="FFFFFF"/>
          <w:lang w:val="en-AU"/>
        </w:rPr>
        <w:t xml:space="preserve">(2), A102-A129. </w:t>
      </w:r>
      <w:r w:rsidRPr="00057960">
        <w:rPr>
          <w:rStyle w:val="Hyperlink"/>
          <w:rFonts w:cs="Times New Roman"/>
          <w:sz w:val="24"/>
        </w:rPr>
        <w:t>https://journal.aall.org.au/index.php/jall/article/view/408</w:t>
      </w:r>
    </w:p>
    <w:bookmarkEnd w:id="1"/>
    <w:p w14:paraId="5305220A" w14:textId="77777777" w:rsidR="00652EE3" w:rsidRPr="00652923" w:rsidRDefault="00652EE3" w:rsidP="00652EE3">
      <w:pPr>
        <w:spacing w:line="480" w:lineRule="auto"/>
        <w:ind w:left="709" w:hanging="709"/>
        <w:jc w:val="left"/>
        <w:rPr>
          <w:rFonts w:cs="Times New Roman"/>
          <w:i/>
          <w:iCs/>
          <w:color w:val="222222"/>
          <w:sz w:val="24"/>
          <w:shd w:val="clear" w:color="auto" w:fill="FFFFFF"/>
          <w:lang w:val="en-AU"/>
        </w:rPr>
      </w:pPr>
      <w:r w:rsidRPr="00057960">
        <w:rPr>
          <w:rFonts w:cs="Times New Roman"/>
          <w:color w:val="222222"/>
          <w:sz w:val="24"/>
          <w:shd w:val="clear" w:color="auto" w:fill="FFFFFF"/>
          <w:lang w:val="en-AU"/>
        </w:rPr>
        <w:t xml:space="preserve">Maldoni, A., &amp; Lear, E. (2016). A decade of embedding: Where are we now? </w:t>
      </w:r>
      <w:r w:rsidRPr="00057960">
        <w:rPr>
          <w:rFonts w:cs="Times New Roman"/>
          <w:i/>
          <w:iCs/>
          <w:color w:val="222222"/>
          <w:sz w:val="24"/>
          <w:shd w:val="clear" w:color="auto" w:fill="FFFFFF"/>
          <w:lang w:val="en-AU"/>
        </w:rPr>
        <w:t>Journal of University Leaching &amp; Teaching Practice, 13</w:t>
      </w:r>
      <w:r w:rsidRPr="00057960">
        <w:rPr>
          <w:rFonts w:cs="Times New Roman"/>
          <w:color w:val="222222"/>
          <w:sz w:val="24"/>
          <w:shd w:val="clear" w:color="auto" w:fill="FFFFFF"/>
          <w:lang w:val="en-AU"/>
        </w:rPr>
        <w:t>(3), 1-20</w:t>
      </w:r>
      <w:r w:rsidRPr="00057960">
        <w:rPr>
          <w:rStyle w:val="Hyperlink"/>
          <w:rFonts w:cs="Times New Roman"/>
          <w:sz w:val="24"/>
        </w:rPr>
        <w:t>. https://doi.org/</w:t>
      </w:r>
      <w:hyperlink r:id="rId39" w:tgtFrame="_blank" w:history="1">
        <w:r w:rsidRPr="00057960">
          <w:rPr>
            <w:rStyle w:val="Hyperlink"/>
            <w:rFonts w:cs="Times New Roman"/>
            <w:sz w:val="24"/>
          </w:rPr>
          <w:t>10.53761/1.13.3.2</w:t>
        </w:r>
      </w:hyperlink>
    </w:p>
    <w:p w14:paraId="06F7B0A1"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057960">
        <w:rPr>
          <w:rFonts w:cs="Times New Roman"/>
          <w:color w:val="222222"/>
          <w:sz w:val="24"/>
          <w:shd w:val="clear" w:color="auto" w:fill="FFFFFF"/>
        </w:rPr>
        <w:t>McGrath, L., Negretti, R. &amp; Nicholls, K. (2019). Hidden expectations: Scaffolding subject specialists’ genre knowledge of the assignments they set. </w:t>
      </w:r>
      <w:r w:rsidRPr="00057960">
        <w:rPr>
          <w:rFonts w:cs="Times New Roman"/>
          <w:i/>
          <w:iCs/>
          <w:color w:val="222222"/>
          <w:sz w:val="24"/>
          <w:shd w:val="clear" w:color="auto" w:fill="FFFFFF"/>
        </w:rPr>
        <w:t>Higher Education</w:t>
      </w:r>
      <w:r w:rsidRPr="00057960">
        <w:rPr>
          <w:rFonts w:cs="Times New Roman"/>
          <w:color w:val="222222"/>
          <w:sz w:val="24"/>
          <w:shd w:val="clear" w:color="auto" w:fill="FFFFFF"/>
        </w:rPr>
        <w:t xml:space="preserve"> 78, 835–853  </w:t>
      </w:r>
      <w:hyperlink r:id="rId40" w:history="1">
        <w:r w:rsidRPr="00057960">
          <w:rPr>
            <w:rStyle w:val="Hyperlink"/>
            <w:rFonts w:cs="Times New Roman"/>
            <w:sz w:val="24"/>
            <w:shd w:val="clear" w:color="auto" w:fill="FFFFFF"/>
          </w:rPr>
          <w:t>https://doi.org/10.1007/s10734-019-00373-9</w:t>
        </w:r>
      </w:hyperlink>
    </w:p>
    <w:p w14:paraId="673FBF8B"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057960">
        <w:rPr>
          <w:rFonts w:cs="Times New Roman"/>
          <w:color w:val="222222"/>
          <w:sz w:val="24"/>
          <w:shd w:val="clear" w:color="auto" w:fill="FFFFFF"/>
        </w:rPr>
        <w:t>Mercer, N., &amp; Littleton, K. (2007). </w:t>
      </w:r>
      <w:r w:rsidRPr="00057960">
        <w:rPr>
          <w:rFonts w:cs="Times New Roman"/>
          <w:i/>
          <w:iCs/>
          <w:color w:val="222222"/>
          <w:sz w:val="24"/>
          <w:shd w:val="clear" w:color="auto" w:fill="FFFFFF"/>
        </w:rPr>
        <w:t>Dialogue and the development of children's thinking: A sociocultural approach</w:t>
      </w:r>
      <w:r w:rsidRPr="00057960">
        <w:rPr>
          <w:rFonts w:cs="Times New Roman"/>
          <w:color w:val="222222"/>
          <w:sz w:val="24"/>
          <w:shd w:val="clear" w:color="auto" w:fill="FFFFFF"/>
        </w:rPr>
        <w:t>. Routledge.</w:t>
      </w:r>
    </w:p>
    <w:p w14:paraId="13A41409"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D95E6C">
        <w:rPr>
          <w:rFonts w:cs="Times New Roman"/>
          <w:color w:val="222222"/>
          <w:sz w:val="24"/>
          <w:shd w:val="clear" w:color="auto" w:fill="FFFFFF"/>
        </w:rPr>
        <w:t xml:space="preserve">Mills, A. J., Durepos, G., &amp; Wiebe, E. (2010). </w:t>
      </w:r>
      <w:r w:rsidRPr="00D95E6C">
        <w:rPr>
          <w:rFonts w:cs="Times New Roman"/>
          <w:i/>
          <w:iCs/>
          <w:color w:val="222222"/>
          <w:sz w:val="24"/>
          <w:shd w:val="clear" w:color="auto" w:fill="FFFFFF"/>
        </w:rPr>
        <w:t>Encyclopedia of case study research</w:t>
      </w:r>
      <w:r w:rsidRPr="00D95E6C">
        <w:rPr>
          <w:rFonts w:cs="Times New Roman"/>
          <w:color w:val="222222"/>
          <w:sz w:val="24"/>
          <w:shd w:val="clear" w:color="auto" w:fill="FFFFFF"/>
        </w:rPr>
        <w:t>. Sage.</w:t>
      </w:r>
      <w:r>
        <w:rPr>
          <w:rFonts w:cs="Times New Roman"/>
          <w:color w:val="222222"/>
          <w:sz w:val="24"/>
          <w:shd w:val="clear" w:color="auto" w:fill="FFFFFF"/>
        </w:rPr>
        <w:t xml:space="preserve"> </w:t>
      </w:r>
    </w:p>
    <w:p w14:paraId="18A15D43" w14:textId="77777777" w:rsidR="00652EE3" w:rsidRPr="00652923" w:rsidRDefault="00652EE3" w:rsidP="00652EE3">
      <w:pPr>
        <w:spacing w:line="480" w:lineRule="auto"/>
        <w:ind w:left="709" w:hanging="709"/>
        <w:jc w:val="left"/>
        <w:rPr>
          <w:rFonts w:cs="Times New Roman"/>
          <w:color w:val="222222"/>
          <w:sz w:val="24"/>
        </w:rPr>
      </w:pPr>
      <w:r w:rsidRPr="00D95E6C">
        <w:rPr>
          <w:rFonts w:cs="Times New Roman"/>
          <w:color w:val="222222"/>
          <w:sz w:val="24"/>
        </w:rPr>
        <w:t>Murray, N.</w:t>
      </w:r>
      <w:r w:rsidRPr="00D95E6C">
        <w:rPr>
          <w:rFonts w:cs="Times New Roman"/>
          <w:color w:val="222222"/>
          <w:sz w:val="24"/>
          <w:shd w:val="clear" w:color="auto" w:fill="FFFFFF"/>
        </w:rPr>
        <w:t> </w:t>
      </w:r>
      <w:r w:rsidRPr="00D95E6C">
        <w:rPr>
          <w:rFonts w:cs="Times New Roman"/>
          <w:color w:val="222222"/>
          <w:sz w:val="24"/>
        </w:rPr>
        <w:t>(2022).</w:t>
      </w:r>
      <w:r w:rsidRPr="00D95E6C">
        <w:rPr>
          <w:rFonts w:cs="Times New Roman"/>
          <w:color w:val="222222"/>
          <w:sz w:val="24"/>
          <w:shd w:val="clear" w:color="auto" w:fill="FFFFFF"/>
        </w:rPr>
        <w:t> </w:t>
      </w:r>
      <w:r w:rsidRPr="00D95E6C">
        <w:rPr>
          <w:rFonts w:cs="Times New Roman"/>
          <w:color w:val="222222"/>
          <w:sz w:val="24"/>
        </w:rPr>
        <w:t>A model to support the equitable development of academic literacy in institutions of higher education.</w:t>
      </w:r>
      <w:r w:rsidRPr="00D95E6C">
        <w:rPr>
          <w:rFonts w:cs="Times New Roman"/>
          <w:color w:val="222222"/>
          <w:sz w:val="24"/>
          <w:shd w:val="clear" w:color="auto" w:fill="FFFFFF"/>
        </w:rPr>
        <w:t> </w:t>
      </w:r>
      <w:r w:rsidRPr="00D95E6C">
        <w:rPr>
          <w:rFonts w:cs="Times New Roman"/>
          <w:i/>
          <w:iCs/>
          <w:color w:val="222222"/>
          <w:sz w:val="24"/>
        </w:rPr>
        <w:t>Journal of Further and Higher Education</w:t>
      </w:r>
      <w:r w:rsidRPr="00D95E6C">
        <w:rPr>
          <w:rFonts w:cs="Times New Roman"/>
          <w:color w:val="222222"/>
          <w:sz w:val="24"/>
        </w:rPr>
        <w:t>,</w:t>
      </w:r>
      <w:r w:rsidRPr="00D95E6C">
        <w:rPr>
          <w:rFonts w:cs="Times New Roman"/>
          <w:color w:val="222222"/>
          <w:sz w:val="24"/>
          <w:shd w:val="clear" w:color="auto" w:fill="FFFFFF"/>
        </w:rPr>
        <w:t> </w:t>
      </w:r>
      <w:r w:rsidRPr="00D95E6C">
        <w:rPr>
          <w:rFonts w:cs="Times New Roman"/>
          <w:i/>
          <w:iCs/>
          <w:color w:val="222222"/>
          <w:sz w:val="24"/>
        </w:rPr>
        <w:t>46</w:t>
      </w:r>
      <w:r w:rsidRPr="00D95E6C">
        <w:rPr>
          <w:rFonts w:cs="Times New Roman"/>
          <w:color w:val="222222"/>
          <w:sz w:val="24"/>
        </w:rPr>
        <w:t>(8),</w:t>
      </w:r>
      <w:r w:rsidRPr="00D95E6C">
        <w:rPr>
          <w:rFonts w:cs="Times New Roman"/>
          <w:color w:val="222222"/>
          <w:sz w:val="24"/>
          <w:shd w:val="clear" w:color="auto" w:fill="FFFFFF"/>
        </w:rPr>
        <w:t> </w:t>
      </w:r>
      <w:r w:rsidRPr="00D95E6C">
        <w:rPr>
          <w:rFonts w:cs="Times New Roman"/>
          <w:color w:val="222222"/>
          <w:sz w:val="24"/>
        </w:rPr>
        <w:t xml:space="preserve">1054-1065. </w:t>
      </w:r>
      <w:hyperlink r:id="rId41" w:history="1">
        <w:r w:rsidRPr="00D95E6C">
          <w:rPr>
            <w:rStyle w:val="Hyperlink"/>
            <w:rFonts w:cs="Times New Roman"/>
            <w:sz w:val="24"/>
          </w:rPr>
          <w:t>https://doi.org/10.1080/0309877X.2022.2044019</w:t>
        </w:r>
      </w:hyperlink>
    </w:p>
    <w:p w14:paraId="01838B77"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D95E6C">
        <w:rPr>
          <w:rFonts w:cs="Times New Roman"/>
          <w:color w:val="222222"/>
          <w:sz w:val="24"/>
          <w:shd w:val="clear" w:color="auto" w:fill="FFFFFF"/>
        </w:rPr>
        <w:t>Murray, N., &amp; Nallaya, S. (2016). Embedding academic literacies in university programme curricula: A case study. </w:t>
      </w:r>
      <w:r w:rsidRPr="00D95E6C">
        <w:rPr>
          <w:rFonts w:cs="Times New Roman"/>
          <w:i/>
          <w:iCs/>
          <w:color w:val="222222"/>
          <w:sz w:val="24"/>
          <w:shd w:val="clear" w:color="auto" w:fill="FFFFFF"/>
        </w:rPr>
        <w:t>Studies in Higher Education</w:t>
      </w:r>
      <w:r w:rsidRPr="00D95E6C">
        <w:rPr>
          <w:rFonts w:cs="Times New Roman"/>
          <w:color w:val="222222"/>
          <w:sz w:val="24"/>
          <w:shd w:val="clear" w:color="auto" w:fill="FFFFFF"/>
        </w:rPr>
        <w:t>, </w:t>
      </w:r>
      <w:r w:rsidRPr="00D95E6C">
        <w:rPr>
          <w:rFonts w:cs="Times New Roman"/>
          <w:i/>
          <w:iCs/>
          <w:color w:val="222222"/>
          <w:sz w:val="24"/>
          <w:shd w:val="clear" w:color="auto" w:fill="FFFFFF"/>
        </w:rPr>
        <w:t>41</w:t>
      </w:r>
      <w:r w:rsidRPr="00D95E6C">
        <w:rPr>
          <w:rFonts w:cs="Times New Roman"/>
          <w:color w:val="222222"/>
          <w:sz w:val="24"/>
          <w:shd w:val="clear" w:color="auto" w:fill="FFFFFF"/>
        </w:rPr>
        <w:t xml:space="preserve">(7), 1296-1312. </w:t>
      </w:r>
      <w:hyperlink r:id="rId42" w:history="1">
        <w:r w:rsidRPr="00D95E6C">
          <w:rPr>
            <w:rStyle w:val="Hyperlink"/>
            <w:rFonts w:cs="Times New Roman"/>
            <w:sz w:val="24"/>
          </w:rPr>
          <w:t>https://doi.org/10.1080/03075079.2014.981150</w:t>
        </w:r>
      </w:hyperlink>
    </w:p>
    <w:p w14:paraId="2E8A0995"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2628D6">
        <w:rPr>
          <w:rFonts w:cs="Times New Roman"/>
          <w:color w:val="222222"/>
          <w:sz w:val="24"/>
          <w:shd w:val="clear" w:color="auto" w:fill="FFFFFF"/>
        </w:rPr>
        <w:t>Murray, N. (2010). Conceptualising the English language needs of first year university students. </w:t>
      </w:r>
      <w:r w:rsidRPr="002628D6">
        <w:rPr>
          <w:rFonts w:cs="Times New Roman"/>
          <w:i/>
          <w:iCs/>
          <w:color w:val="222222"/>
          <w:sz w:val="24"/>
          <w:shd w:val="clear" w:color="auto" w:fill="FFFFFF"/>
        </w:rPr>
        <w:t>Student Success</w:t>
      </w:r>
      <w:r w:rsidRPr="002628D6">
        <w:rPr>
          <w:rFonts w:cs="Times New Roman"/>
          <w:color w:val="222222"/>
          <w:sz w:val="24"/>
          <w:shd w:val="clear" w:color="auto" w:fill="FFFFFF"/>
        </w:rPr>
        <w:t>, </w:t>
      </w:r>
      <w:r w:rsidRPr="002628D6">
        <w:rPr>
          <w:rFonts w:cs="Times New Roman"/>
          <w:i/>
          <w:iCs/>
          <w:color w:val="222222"/>
          <w:sz w:val="24"/>
          <w:shd w:val="clear" w:color="auto" w:fill="FFFFFF"/>
        </w:rPr>
        <w:t>1</w:t>
      </w:r>
      <w:r w:rsidRPr="002628D6">
        <w:rPr>
          <w:rFonts w:cs="Times New Roman"/>
          <w:color w:val="222222"/>
          <w:sz w:val="24"/>
          <w:shd w:val="clear" w:color="auto" w:fill="FFFFFF"/>
        </w:rPr>
        <w:t xml:space="preserve">(1), 55. </w:t>
      </w:r>
      <w:r w:rsidRPr="002628D6">
        <w:rPr>
          <w:rStyle w:val="label"/>
          <w:rFonts w:cs="Times New Roman"/>
          <w:b/>
          <w:bCs/>
          <w:sz w:val="24"/>
          <w:shd w:val="clear" w:color="auto" w:fill="FFFFFF"/>
        </w:rPr>
        <w:t> </w:t>
      </w:r>
      <w:hyperlink r:id="rId43" w:history="1">
        <w:r w:rsidRPr="002628D6">
          <w:rPr>
            <w:rStyle w:val="Hyperlink"/>
            <w:rFonts w:cs="Times New Roman"/>
            <w:color w:val="007AB2"/>
            <w:sz w:val="24"/>
          </w:rPr>
          <w:t>https://doi.org/10.5204/intjfyhe.v1i1.19</w:t>
        </w:r>
      </w:hyperlink>
    </w:p>
    <w:p w14:paraId="009E5933" w14:textId="77777777" w:rsidR="00652EE3" w:rsidRPr="00E6104A" w:rsidRDefault="00652EE3" w:rsidP="00652EE3">
      <w:pPr>
        <w:spacing w:line="480" w:lineRule="auto"/>
        <w:ind w:left="709" w:hanging="709"/>
        <w:jc w:val="left"/>
        <w:rPr>
          <w:rFonts w:cs="Times New Roman"/>
          <w:color w:val="222222"/>
          <w:sz w:val="24"/>
          <w:shd w:val="clear" w:color="auto" w:fill="FFFFFF"/>
        </w:rPr>
      </w:pPr>
      <w:r w:rsidRPr="009164FB">
        <w:rPr>
          <w:rFonts w:cs="Times New Roman"/>
          <w:color w:val="222222"/>
          <w:sz w:val="24"/>
          <w:shd w:val="clear" w:color="auto" w:fill="FFFFFF"/>
        </w:rPr>
        <w:t>Negretti, R., &amp; McGrath, L. (2020). English for specific playfulness? How doctoral students in science, technology, engineering and mathematics manipulate genre. </w:t>
      </w:r>
      <w:r w:rsidRPr="009164FB">
        <w:rPr>
          <w:rFonts w:cs="Times New Roman"/>
          <w:i/>
          <w:iCs/>
          <w:color w:val="222222"/>
          <w:sz w:val="24"/>
          <w:shd w:val="clear" w:color="auto" w:fill="FFFFFF"/>
        </w:rPr>
        <w:t>English for Specific Purposes, 60</w:t>
      </w:r>
      <w:r w:rsidRPr="009164FB">
        <w:rPr>
          <w:rFonts w:cs="Times New Roman"/>
          <w:color w:val="222222"/>
          <w:sz w:val="24"/>
          <w:shd w:val="clear" w:color="auto" w:fill="FFFFFF"/>
        </w:rPr>
        <w:t xml:space="preserve">, 26-39. </w:t>
      </w:r>
      <w:hyperlink r:id="rId44" w:history="1">
        <w:r w:rsidRPr="009164FB">
          <w:rPr>
            <w:rStyle w:val="Hyperlink"/>
            <w:rFonts w:eastAsia="Times New Roman" w:cs="Times New Roman"/>
            <w:sz w:val="24"/>
            <w:lang w:eastAsia="en-GB"/>
          </w:rPr>
          <w:t>https://doi.org/10.1016/j.esp.2020.04.004</w:t>
        </w:r>
      </w:hyperlink>
      <w:r w:rsidRPr="00E6104A">
        <w:rPr>
          <w:rFonts w:ascii="Arial" w:eastAsia="Times New Roman" w:hAnsi="Arial"/>
          <w:color w:val="1F1F1F"/>
          <w:sz w:val="24"/>
          <w:lang w:eastAsia="en-GB"/>
        </w:rPr>
        <w:t xml:space="preserve"> </w:t>
      </w:r>
    </w:p>
    <w:p w14:paraId="55D09DC1" w14:textId="77777777" w:rsidR="00652EE3" w:rsidRDefault="00652EE3" w:rsidP="00652EE3">
      <w:pPr>
        <w:spacing w:line="480" w:lineRule="auto"/>
        <w:ind w:left="709" w:hanging="709"/>
        <w:jc w:val="left"/>
        <w:rPr>
          <w:rFonts w:cs="Times New Roman"/>
          <w:color w:val="222222"/>
          <w:sz w:val="24"/>
          <w:shd w:val="clear" w:color="auto" w:fill="FFFFFF"/>
        </w:rPr>
      </w:pPr>
      <w:r w:rsidRPr="009164FB">
        <w:rPr>
          <w:rFonts w:cs="Times New Roman"/>
          <w:color w:val="222222"/>
          <w:sz w:val="24"/>
          <w:shd w:val="clear" w:color="auto" w:fill="FFFFFF"/>
        </w:rPr>
        <w:t>Negretti, R., &amp; Mežek, S. (2019). Participatory appropriation as a pathway to self-regulation in academic writing: The case of three BA essay writers in literature</w:t>
      </w:r>
      <w:r w:rsidRPr="009164FB">
        <w:rPr>
          <w:rFonts w:cs="Times New Roman"/>
          <w:i/>
          <w:iCs/>
          <w:color w:val="222222"/>
          <w:sz w:val="24"/>
          <w:shd w:val="clear" w:color="auto" w:fill="FFFFFF"/>
        </w:rPr>
        <w:t>. Journal of Writing Research 11</w:t>
      </w:r>
      <w:r w:rsidRPr="009164FB">
        <w:rPr>
          <w:rFonts w:cs="Times New Roman"/>
          <w:color w:val="222222"/>
          <w:sz w:val="24"/>
          <w:shd w:val="clear" w:color="auto" w:fill="FFFFFF"/>
        </w:rPr>
        <w:t xml:space="preserve">(1), 1-40. </w:t>
      </w:r>
      <w:hyperlink r:id="rId45" w:history="1">
        <w:r w:rsidRPr="009164FB">
          <w:rPr>
            <w:rStyle w:val="Hyperlink"/>
            <w:rFonts w:cs="Times New Roman"/>
            <w:sz w:val="24"/>
            <w:shd w:val="clear" w:color="auto" w:fill="FFFFFF"/>
          </w:rPr>
          <w:t>https://doi.org/10.17239/jowr-2019.11.01.01</w:t>
        </w:r>
      </w:hyperlink>
    </w:p>
    <w:p w14:paraId="3F40DB5B" w14:textId="77777777" w:rsidR="00652EE3" w:rsidRPr="00820514" w:rsidRDefault="00652EE3" w:rsidP="00652EE3">
      <w:pPr>
        <w:spacing w:line="480" w:lineRule="auto"/>
        <w:ind w:left="709" w:hanging="709"/>
        <w:jc w:val="left"/>
        <w:rPr>
          <w:rFonts w:cs="Times New Roman"/>
          <w:color w:val="222222"/>
          <w:sz w:val="24"/>
          <w:shd w:val="clear" w:color="auto" w:fill="FFFFFF"/>
        </w:rPr>
      </w:pPr>
      <w:r w:rsidRPr="009164FB">
        <w:rPr>
          <w:rFonts w:cs="Times New Roman"/>
          <w:color w:val="222222"/>
          <w:sz w:val="24"/>
          <w:shd w:val="clear" w:color="auto" w:fill="FFFFFF"/>
        </w:rPr>
        <w:t>Nicholls, K. (2020). ‘You have to work from where they are’: Academic leaders’ talk about language development. </w:t>
      </w:r>
      <w:r w:rsidRPr="009164FB">
        <w:rPr>
          <w:rFonts w:cs="Times New Roman"/>
          <w:i/>
          <w:iCs/>
          <w:color w:val="222222"/>
          <w:sz w:val="24"/>
          <w:shd w:val="clear" w:color="auto" w:fill="FFFFFF"/>
        </w:rPr>
        <w:t>Journal of Higher Education Policy and Management</w:t>
      </w:r>
      <w:r w:rsidRPr="009164FB">
        <w:rPr>
          <w:rFonts w:cs="Times New Roman"/>
          <w:color w:val="222222"/>
          <w:sz w:val="24"/>
          <w:shd w:val="clear" w:color="auto" w:fill="FFFFFF"/>
        </w:rPr>
        <w:t>, </w:t>
      </w:r>
      <w:r w:rsidRPr="009164FB">
        <w:rPr>
          <w:rFonts w:cs="Times New Roman"/>
          <w:i/>
          <w:iCs/>
          <w:color w:val="222222"/>
          <w:sz w:val="24"/>
          <w:shd w:val="clear" w:color="auto" w:fill="FFFFFF"/>
        </w:rPr>
        <w:t>42</w:t>
      </w:r>
      <w:r w:rsidRPr="009164FB">
        <w:rPr>
          <w:rFonts w:cs="Times New Roman"/>
          <w:color w:val="222222"/>
          <w:sz w:val="24"/>
          <w:shd w:val="clear" w:color="auto" w:fill="FFFFFF"/>
        </w:rPr>
        <w:t xml:space="preserve">(1), 67-84. </w:t>
      </w:r>
      <w:hyperlink r:id="rId46" w:history="1">
        <w:r w:rsidRPr="009164FB">
          <w:rPr>
            <w:rStyle w:val="Hyperlink"/>
            <w:rFonts w:cs="Times New Roman"/>
            <w:sz w:val="24"/>
          </w:rPr>
          <w:t>https://doi.org/10.1080/1360080X.2019.1658922</w:t>
        </w:r>
      </w:hyperlink>
    </w:p>
    <w:p w14:paraId="362BFE69" w14:textId="77777777" w:rsidR="00652EE3" w:rsidRPr="009843E0" w:rsidRDefault="00652EE3" w:rsidP="00652EE3">
      <w:pPr>
        <w:spacing w:line="480" w:lineRule="auto"/>
        <w:ind w:left="709" w:hanging="709"/>
        <w:jc w:val="left"/>
        <w:rPr>
          <w:color w:val="0000FF"/>
          <w:u w:val="single"/>
        </w:rPr>
      </w:pPr>
      <w:r w:rsidRPr="009164FB">
        <w:rPr>
          <w:rFonts w:cs="Times New Roman"/>
          <w:color w:val="222222"/>
          <w:sz w:val="24"/>
          <w:shd w:val="clear" w:color="auto" w:fill="FFFFFF"/>
        </w:rPr>
        <w:t>Nicholls, K. (2021). Illuminating expertise in academic language development: English for academic purposes practitioners in the UK. </w:t>
      </w:r>
      <w:r w:rsidRPr="009164FB">
        <w:rPr>
          <w:rFonts w:cs="Times New Roman"/>
          <w:i/>
          <w:iCs/>
          <w:color w:val="222222"/>
          <w:sz w:val="24"/>
          <w:shd w:val="clear" w:color="auto" w:fill="FFFFFF"/>
        </w:rPr>
        <w:t>International Journal of English for Academic Purposes: Research and Practice</w:t>
      </w:r>
      <w:r w:rsidRPr="009164FB">
        <w:rPr>
          <w:rFonts w:cs="Times New Roman"/>
          <w:color w:val="222222"/>
          <w:sz w:val="24"/>
          <w:shd w:val="clear" w:color="auto" w:fill="FFFFFF"/>
        </w:rPr>
        <w:t xml:space="preserve">, 167-191. </w:t>
      </w:r>
      <w:hyperlink r:id="rId47" w:history="1">
        <w:r w:rsidRPr="009164FB">
          <w:rPr>
            <w:rStyle w:val="Hyperlink"/>
            <w:rFonts w:cs="Times New Roman"/>
            <w:sz w:val="24"/>
            <w:shd w:val="clear" w:color="auto" w:fill="FFFFFF"/>
          </w:rPr>
          <w:t>https://doi.org/10.3828/ijeap.2021.11</w:t>
        </w:r>
      </w:hyperlink>
    </w:p>
    <w:p w14:paraId="50CBDF81"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054FCB">
        <w:rPr>
          <w:rFonts w:cs="Times New Roman"/>
          <w:color w:val="222222"/>
          <w:sz w:val="24"/>
          <w:shd w:val="clear" w:color="auto" w:fill="FFFFFF"/>
        </w:rPr>
        <w:t xml:space="preserve">Office for Students (2021). Assessment practices in English higher education providers: Spelling, punctuation and grammar. </w:t>
      </w:r>
      <w:hyperlink r:id="rId48" w:history="1">
        <w:r w:rsidRPr="00054FCB">
          <w:rPr>
            <w:rStyle w:val="Hyperlink"/>
            <w:rFonts w:cs="Times New Roman"/>
            <w:sz w:val="24"/>
            <w:shd w:val="clear" w:color="auto" w:fill="FFFFFF"/>
          </w:rPr>
          <w:t>https://www.officeforstudents.org.uk/publications/assessment-practices-in-english-higher-education-providers/</w:t>
        </w:r>
      </w:hyperlink>
      <w:r w:rsidRPr="00652923">
        <w:rPr>
          <w:rFonts w:cs="Times New Roman"/>
          <w:color w:val="222222"/>
          <w:sz w:val="24"/>
          <w:shd w:val="clear" w:color="auto" w:fill="FFFFFF"/>
        </w:rPr>
        <w:t xml:space="preserve"> </w:t>
      </w:r>
    </w:p>
    <w:p w14:paraId="384A3E24"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054FCB">
        <w:rPr>
          <w:rFonts w:cs="Times New Roman"/>
          <w:color w:val="222222"/>
          <w:sz w:val="24"/>
          <w:shd w:val="clear" w:color="auto" w:fill="FFFFFF"/>
        </w:rPr>
        <w:t>Percy, A. (2014). Re-integrating academic development and academic language and learning: A call to reason. </w:t>
      </w:r>
      <w:r w:rsidRPr="00054FCB">
        <w:rPr>
          <w:rFonts w:cs="Times New Roman"/>
          <w:i/>
          <w:iCs/>
          <w:color w:val="222222"/>
          <w:sz w:val="24"/>
          <w:shd w:val="clear" w:color="auto" w:fill="FFFFFF"/>
        </w:rPr>
        <w:t>Higher Education Research &amp; Development</w:t>
      </w:r>
      <w:r w:rsidRPr="00054FCB">
        <w:rPr>
          <w:rFonts w:cs="Times New Roman"/>
          <w:color w:val="222222"/>
          <w:sz w:val="24"/>
          <w:shd w:val="clear" w:color="auto" w:fill="FFFFFF"/>
        </w:rPr>
        <w:t>, </w:t>
      </w:r>
      <w:r w:rsidRPr="00054FCB">
        <w:rPr>
          <w:rFonts w:cs="Times New Roman"/>
          <w:i/>
          <w:iCs/>
          <w:color w:val="222222"/>
          <w:sz w:val="24"/>
          <w:shd w:val="clear" w:color="auto" w:fill="FFFFFF"/>
        </w:rPr>
        <w:t>33</w:t>
      </w:r>
      <w:r w:rsidRPr="00054FCB">
        <w:rPr>
          <w:rFonts w:cs="Times New Roman"/>
          <w:color w:val="222222"/>
          <w:sz w:val="24"/>
          <w:shd w:val="clear" w:color="auto" w:fill="FFFFFF"/>
        </w:rPr>
        <w:t xml:space="preserve">(6), 1194-1207. </w:t>
      </w:r>
      <w:hyperlink r:id="rId49" w:history="1">
        <w:r w:rsidRPr="00054FCB">
          <w:rPr>
            <w:rStyle w:val="Hyperlink"/>
            <w:rFonts w:cs="Times New Roman"/>
            <w:sz w:val="24"/>
          </w:rPr>
          <w:t>https://doi.org/10.1080/07294360.2014.911254</w:t>
        </w:r>
      </w:hyperlink>
    </w:p>
    <w:p w14:paraId="133EC299"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054FCB">
        <w:rPr>
          <w:rFonts w:cs="Times New Roman"/>
          <w:color w:val="222222"/>
          <w:sz w:val="24"/>
          <w:shd w:val="clear" w:color="auto" w:fill="FFFFFF"/>
        </w:rPr>
        <w:t>Reznitskaya, A., Kuo, L. J., Clark, A. M., Miller, B., Jadallah, M., Anderson, R. C., &amp; Nguyen‐Jahiel, K. (2009). Collaborative reasoning: A dialogic approach to group discussions. </w:t>
      </w:r>
      <w:r w:rsidRPr="00054FCB">
        <w:rPr>
          <w:rFonts w:cs="Times New Roman"/>
          <w:i/>
          <w:iCs/>
          <w:color w:val="222222"/>
          <w:sz w:val="24"/>
          <w:shd w:val="clear" w:color="auto" w:fill="FFFFFF"/>
        </w:rPr>
        <w:t>Cambridge Journal of Education</w:t>
      </w:r>
      <w:r w:rsidRPr="00054FCB">
        <w:rPr>
          <w:rFonts w:cs="Times New Roman"/>
          <w:color w:val="222222"/>
          <w:sz w:val="24"/>
          <w:shd w:val="clear" w:color="auto" w:fill="FFFFFF"/>
        </w:rPr>
        <w:t>, </w:t>
      </w:r>
      <w:r w:rsidRPr="00054FCB">
        <w:rPr>
          <w:rFonts w:cs="Times New Roman"/>
          <w:i/>
          <w:iCs/>
          <w:color w:val="222222"/>
          <w:sz w:val="24"/>
          <w:shd w:val="clear" w:color="auto" w:fill="FFFFFF"/>
        </w:rPr>
        <w:t>39</w:t>
      </w:r>
      <w:r w:rsidRPr="00054FCB">
        <w:rPr>
          <w:rFonts w:cs="Times New Roman"/>
          <w:color w:val="222222"/>
          <w:sz w:val="24"/>
          <w:shd w:val="clear" w:color="auto" w:fill="FFFFFF"/>
        </w:rPr>
        <w:t xml:space="preserve">(1), 29-48. </w:t>
      </w:r>
      <w:hyperlink r:id="rId50" w:history="1">
        <w:r w:rsidRPr="00054FCB">
          <w:rPr>
            <w:rStyle w:val="Hyperlink"/>
            <w:rFonts w:cs="Times New Roman"/>
            <w:sz w:val="24"/>
          </w:rPr>
          <w:t>https://doi.org/10.1080/03057640802701952</w:t>
        </w:r>
      </w:hyperlink>
    </w:p>
    <w:p w14:paraId="69BC210D"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054FCB">
        <w:rPr>
          <w:rFonts w:cs="Times New Roman"/>
          <w:sz w:val="24"/>
        </w:rPr>
        <w:t>Saldaña</w:t>
      </w:r>
      <w:r w:rsidRPr="00054FCB">
        <w:rPr>
          <w:rFonts w:cs="Times New Roman"/>
          <w:color w:val="222222"/>
          <w:sz w:val="24"/>
          <w:shd w:val="clear" w:color="auto" w:fill="FFFFFF"/>
        </w:rPr>
        <w:t xml:space="preserve">, J. (2011). </w:t>
      </w:r>
      <w:r w:rsidRPr="00054FCB">
        <w:rPr>
          <w:rFonts w:cs="Times New Roman"/>
          <w:i/>
          <w:iCs/>
          <w:color w:val="222222"/>
          <w:sz w:val="24"/>
          <w:shd w:val="clear" w:color="auto" w:fill="FFFFFF"/>
        </w:rPr>
        <w:t>Fundamentals of qualitative research</w:t>
      </w:r>
      <w:r w:rsidRPr="00054FCB">
        <w:rPr>
          <w:rFonts w:cs="Times New Roman"/>
          <w:color w:val="222222"/>
          <w:sz w:val="24"/>
          <w:shd w:val="clear" w:color="auto" w:fill="FFFFFF"/>
        </w:rPr>
        <w:t>: Oxford University Press.</w:t>
      </w:r>
    </w:p>
    <w:p w14:paraId="714CD5C6"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054FCB">
        <w:rPr>
          <w:rFonts w:cs="Times New Roman"/>
          <w:color w:val="222222"/>
          <w:sz w:val="24"/>
          <w:shd w:val="clear" w:color="auto" w:fill="FFFFFF"/>
        </w:rPr>
        <w:t>Swales, J. (1990). </w:t>
      </w:r>
      <w:r w:rsidRPr="00054FCB">
        <w:rPr>
          <w:rFonts w:cs="Times New Roman"/>
          <w:i/>
          <w:iCs/>
          <w:color w:val="222222"/>
          <w:sz w:val="24"/>
          <w:shd w:val="clear" w:color="auto" w:fill="FFFFFF"/>
        </w:rPr>
        <w:t>Genre analysis: English in academic and research settings</w:t>
      </w:r>
      <w:r w:rsidRPr="00054FCB">
        <w:rPr>
          <w:rFonts w:cs="Times New Roman"/>
          <w:color w:val="222222"/>
          <w:sz w:val="24"/>
          <w:shd w:val="clear" w:color="auto" w:fill="FFFFFF"/>
        </w:rPr>
        <w:t>. Cambridge University Press.</w:t>
      </w:r>
    </w:p>
    <w:p w14:paraId="2BB1F5E8" w14:textId="77777777" w:rsidR="00652EE3" w:rsidRPr="00054FCB" w:rsidRDefault="00652EE3" w:rsidP="00652EE3">
      <w:pPr>
        <w:spacing w:line="480" w:lineRule="auto"/>
        <w:ind w:left="709" w:hanging="709"/>
        <w:jc w:val="left"/>
        <w:rPr>
          <w:rFonts w:cs="Times New Roman"/>
          <w:color w:val="222222"/>
          <w:sz w:val="24"/>
          <w:shd w:val="clear" w:color="auto" w:fill="FFFFFF"/>
        </w:rPr>
      </w:pPr>
      <w:r w:rsidRPr="00054FCB">
        <w:rPr>
          <w:rFonts w:cs="Times New Roman"/>
          <w:color w:val="222222"/>
          <w:sz w:val="24"/>
          <w:shd w:val="clear" w:color="auto" w:fill="FFFFFF"/>
        </w:rPr>
        <w:t>Tardy, C. (2009). </w:t>
      </w:r>
      <w:r w:rsidRPr="00054FCB">
        <w:rPr>
          <w:rFonts w:cs="Times New Roman"/>
          <w:i/>
          <w:iCs/>
          <w:color w:val="222222"/>
          <w:sz w:val="24"/>
          <w:shd w:val="clear" w:color="auto" w:fill="FFFFFF"/>
        </w:rPr>
        <w:t>Building genre knowledge</w:t>
      </w:r>
      <w:r w:rsidRPr="00054FCB">
        <w:rPr>
          <w:rFonts w:cs="Times New Roman"/>
          <w:color w:val="222222"/>
          <w:sz w:val="24"/>
          <w:shd w:val="clear" w:color="auto" w:fill="FFFFFF"/>
        </w:rPr>
        <w:t>. Parlor Press LLC.</w:t>
      </w:r>
    </w:p>
    <w:p w14:paraId="65338B30" w14:textId="77777777" w:rsidR="00652EE3" w:rsidRPr="00054FCB" w:rsidRDefault="00652EE3" w:rsidP="00652EE3">
      <w:pPr>
        <w:spacing w:line="480" w:lineRule="auto"/>
        <w:ind w:left="709" w:hanging="709"/>
        <w:jc w:val="left"/>
        <w:rPr>
          <w:rFonts w:cs="Times New Roman"/>
          <w:color w:val="222222"/>
          <w:sz w:val="24"/>
          <w:shd w:val="clear" w:color="auto" w:fill="FFFFFF"/>
        </w:rPr>
      </w:pPr>
      <w:r w:rsidRPr="00054FCB">
        <w:rPr>
          <w:rFonts w:cs="Times New Roman"/>
          <w:color w:val="222222"/>
          <w:sz w:val="24"/>
          <w:shd w:val="clear" w:color="auto" w:fill="FFFFFF"/>
        </w:rPr>
        <w:t xml:space="preserve">Tardy, C. (2016). </w:t>
      </w:r>
      <w:r w:rsidRPr="00054FCB">
        <w:rPr>
          <w:rFonts w:cs="Times New Roman"/>
          <w:i/>
          <w:iCs/>
          <w:color w:val="222222"/>
          <w:sz w:val="24"/>
          <w:shd w:val="clear" w:color="auto" w:fill="FFFFFF"/>
        </w:rPr>
        <w:t>Beyond convention</w:t>
      </w:r>
      <w:r w:rsidRPr="00054FCB">
        <w:rPr>
          <w:rFonts w:cs="Times New Roman"/>
          <w:color w:val="222222"/>
          <w:sz w:val="24"/>
          <w:shd w:val="clear" w:color="auto" w:fill="FFFFFF"/>
        </w:rPr>
        <w:t>. University of Michigan Press.</w:t>
      </w:r>
    </w:p>
    <w:p w14:paraId="056F9C57" w14:textId="77777777" w:rsidR="00652EE3" w:rsidRPr="00652923" w:rsidRDefault="00652EE3" w:rsidP="00652EE3">
      <w:pPr>
        <w:spacing w:line="480" w:lineRule="auto"/>
        <w:ind w:left="709" w:hanging="709"/>
        <w:jc w:val="left"/>
        <w:rPr>
          <w:rFonts w:cs="Times New Roman"/>
          <w:color w:val="333333"/>
          <w:sz w:val="24"/>
          <w:shd w:val="clear" w:color="auto" w:fill="FFFFFF"/>
        </w:rPr>
      </w:pPr>
      <w:r w:rsidRPr="00054FCB">
        <w:rPr>
          <w:rFonts w:cs="Times New Roman"/>
          <w:color w:val="222222"/>
          <w:sz w:val="24"/>
          <w:shd w:val="clear" w:color="auto" w:fill="FFFFFF"/>
        </w:rPr>
        <w:t>Teo, P. (2019). Teaching for the 21st century: A case for dialogic pedagogy. </w:t>
      </w:r>
      <w:r w:rsidRPr="00054FCB">
        <w:rPr>
          <w:rFonts w:cs="Times New Roman"/>
          <w:i/>
          <w:iCs/>
          <w:color w:val="222222"/>
          <w:sz w:val="24"/>
          <w:shd w:val="clear" w:color="auto" w:fill="FFFFFF"/>
        </w:rPr>
        <w:t>Learning, Culture and Social Interaction</w:t>
      </w:r>
      <w:r w:rsidRPr="00054FCB">
        <w:rPr>
          <w:rFonts w:cs="Times New Roman"/>
          <w:color w:val="222222"/>
          <w:sz w:val="24"/>
          <w:shd w:val="clear" w:color="auto" w:fill="FFFFFF"/>
        </w:rPr>
        <w:t>, </w:t>
      </w:r>
      <w:r w:rsidRPr="00054FCB">
        <w:rPr>
          <w:rFonts w:cs="Times New Roman"/>
          <w:i/>
          <w:iCs/>
          <w:color w:val="222222"/>
          <w:sz w:val="24"/>
          <w:shd w:val="clear" w:color="auto" w:fill="FFFFFF"/>
        </w:rPr>
        <w:t>21</w:t>
      </w:r>
      <w:r w:rsidRPr="00054FCB">
        <w:rPr>
          <w:rFonts w:cs="Times New Roman"/>
          <w:color w:val="222222"/>
          <w:sz w:val="24"/>
          <w:shd w:val="clear" w:color="auto" w:fill="FFFFFF"/>
        </w:rPr>
        <w:t xml:space="preserve">, 170-178. </w:t>
      </w:r>
      <w:hyperlink r:id="rId51" w:history="1">
        <w:r w:rsidRPr="00054FCB">
          <w:rPr>
            <w:rStyle w:val="Hyperlink"/>
            <w:rFonts w:cs="Times New Roman"/>
            <w:sz w:val="24"/>
            <w:shd w:val="clear" w:color="auto" w:fill="FFFFFF"/>
          </w:rPr>
          <w:t>https://doi.org/10.1016/j.lcsi.2019.03.009</w:t>
        </w:r>
      </w:hyperlink>
    </w:p>
    <w:p w14:paraId="25CD584D"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054FCB">
        <w:rPr>
          <w:rFonts w:cs="Times New Roman"/>
          <w:color w:val="222222"/>
          <w:sz w:val="24"/>
          <w:shd w:val="clear" w:color="auto" w:fill="FFFFFF"/>
        </w:rPr>
        <w:t>Tuck, J. (2018). </w:t>
      </w:r>
      <w:r w:rsidRPr="00054FCB">
        <w:rPr>
          <w:rFonts w:cs="Times New Roman"/>
          <w:i/>
          <w:iCs/>
          <w:color w:val="222222"/>
          <w:sz w:val="24"/>
          <w:shd w:val="clear" w:color="auto" w:fill="FFFFFF"/>
        </w:rPr>
        <w:t>Academics engaging with student writing: Working at the higher education text face</w:t>
      </w:r>
      <w:r w:rsidRPr="00054FCB">
        <w:rPr>
          <w:rFonts w:cs="Times New Roman"/>
          <w:color w:val="222222"/>
          <w:sz w:val="24"/>
          <w:shd w:val="clear" w:color="auto" w:fill="FFFFFF"/>
        </w:rPr>
        <w:t>. Routledge.</w:t>
      </w:r>
    </w:p>
    <w:p w14:paraId="51C13945" w14:textId="77777777" w:rsidR="00652EE3" w:rsidRPr="00652923" w:rsidRDefault="00652EE3" w:rsidP="00652EE3">
      <w:pPr>
        <w:spacing w:before="100" w:beforeAutospacing="1" w:after="100" w:afterAutospacing="1" w:line="480" w:lineRule="auto"/>
        <w:ind w:left="709" w:hanging="709"/>
        <w:jc w:val="left"/>
        <w:rPr>
          <w:rFonts w:cs="Times New Roman"/>
          <w:color w:val="222222"/>
          <w:sz w:val="24"/>
          <w:shd w:val="clear" w:color="auto" w:fill="FFFFFF"/>
        </w:rPr>
      </w:pPr>
      <w:r w:rsidRPr="00054FCB">
        <w:rPr>
          <w:rFonts w:cs="Times New Roman"/>
          <w:color w:val="222222"/>
          <w:sz w:val="24"/>
          <w:shd w:val="clear" w:color="auto" w:fill="FFFFFF"/>
        </w:rPr>
        <w:t xml:space="preserve">Vygotsky, L. S. (1962). </w:t>
      </w:r>
      <w:r w:rsidRPr="00054FCB">
        <w:rPr>
          <w:rFonts w:cs="Times New Roman"/>
          <w:i/>
          <w:iCs/>
          <w:color w:val="222222"/>
          <w:sz w:val="24"/>
          <w:shd w:val="clear" w:color="auto" w:fill="FFFFFF"/>
        </w:rPr>
        <w:t>Thought and language</w:t>
      </w:r>
      <w:r w:rsidRPr="00054FCB">
        <w:rPr>
          <w:rFonts w:cs="Times New Roman"/>
          <w:color w:val="222222"/>
          <w:sz w:val="24"/>
          <w:shd w:val="clear" w:color="auto" w:fill="FFFFFF"/>
        </w:rPr>
        <w:t>. MIT press.</w:t>
      </w:r>
    </w:p>
    <w:p w14:paraId="7CBEE7DA"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9372D9">
        <w:rPr>
          <w:rFonts w:cs="Times New Roman"/>
          <w:color w:val="222222"/>
          <w:sz w:val="24"/>
          <w:shd w:val="clear" w:color="auto" w:fill="FFFFFF"/>
        </w:rPr>
        <w:t>Vygotsky, L. S., &amp; Cole, M. (1978). </w:t>
      </w:r>
      <w:r w:rsidRPr="009372D9">
        <w:rPr>
          <w:rFonts w:cs="Times New Roman"/>
          <w:i/>
          <w:iCs/>
          <w:color w:val="222222"/>
          <w:sz w:val="24"/>
          <w:shd w:val="clear" w:color="auto" w:fill="FFFFFF"/>
        </w:rPr>
        <w:t>Mind in society: Development of higher psychological processes</w:t>
      </w:r>
      <w:r w:rsidRPr="009372D9">
        <w:rPr>
          <w:rFonts w:cs="Times New Roman"/>
          <w:color w:val="222222"/>
          <w:sz w:val="24"/>
          <w:shd w:val="clear" w:color="auto" w:fill="FFFFFF"/>
        </w:rPr>
        <w:t>. Harvard University Press.</w:t>
      </w:r>
    </w:p>
    <w:p w14:paraId="42D18397"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5B681E">
        <w:rPr>
          <w:rFonts w:cs="Times New Roman"/>
          <w:color w:val="222222"/>
          <w:sz w:val="24"/>
          <w:shd w:val="clear" w:color="auto" w:fill="FFFFFF"/>
        </w:rPr>
        <w:t>Wingate, U. (2006). Doing away with ‘study skills’. </w:t>
      </w:r>
      <w:r w:rsidRPr="005B681E">
        <w:rPr>
          <w:rFonts w:cs="Times New Roman"/>
          <w:i/>
          <w:iCs/>
          <w:color w:val="222222"/>
          <w:sz w:val="24"/>
          <w:shd w:val="clear" w:color="auto" w:fill="FFFFFF"/>
        </w:rPr>
        <w:t>Teaching in Higher Education</w:t>
      </w:r>
      <w:r w:rsidRPr="005B681E">
        <w:rPr>
          <w:rFonts w:cs="Times New Roman"/>
          <w:color w:val="222222"/>
          <w:sz w:val="24"/>
          <w:shd w:val="clear" w:color="auto" w:fill="FFFFFF"/>
        </w:rPr>
        <w:t>, </w:t>
      </w:r>
      <w:r w:rsidRPr="005B681E">
        <w:rPr>
          <w:rFonts w:cs="Times New Roman"/>
          <w:i/>
          <w:iCs/>
          <w:color w:val="222222"/>
          <w:sz w:val="24"/>
          <w:shd w:val="clear" w:color="auto" w:fill="FFFFFF"/>
        </w:rPr>
        <w:t>11</w:t>
      </w:r>
      <w:r w:rsidRPr="005B681E">
        <w:rPr>
          <w:rFonts w:cs="Times New Roman"/>
          <w:color w:val="222222"/>
          <w:sz w:val="24"/>
          <w:shd w:val="clear" w:color="auto" w:fill="FFFFFF"/>
        </w:rPr>
        <w:t xml:space="preserve">(4), 457-469. </w:t>
      </w:r>
      <w:hyperlink r:id="rId52" w:history="1">
        <w:r w:rsidRPr="005B681E">
          <w:rPr>
            <w:rStyle w:val="Hyperlink"/>
            <w:rFonts w:cs="Times New Roman"/>
            <w:sz w:val="24"/>
          </w:rPr>
          <w:t>https://doi.org/10.1080/13562510600874268</w:t>
        </w:r>
      </w:hyperlink>
    </w:p>
    <w:p w14:paraId="7AB2192F" w14:textId="77777777" w:rsidR="00652EE3" w:rsidRPr="00652923" w:rsidRDefault="00652EE3" w:rsidP="00652EE3">
      <w:pPr>
        <w:spacing w:line="480" w:lineRule="auto"/>
        <w:ind w:left="709" w:hanging="709"/>
        <w:jc w:val="left"/>
        <w:rPr>
          <w:rFonts w:cs="Times New Roman"/>
          <w:sz w:val="24"/>
        </w:rPr>
      </w:pPr>
      <w:r w:rsidRPr="005B681E">
        <w:rPr>
          <w:rFonts w:cs="Times New Roman"/>
          <w:color w:val="222222"/>
          <w:sz w:val="24"/>
          <w:shd w:val="clear" w:color="auto" w:fill="FFFFFF"/>
        </w:rPr>
        <w:t>Wingate, U. (2012). Using academic literacies and genre-based models for academic writing instruction: A 'literacy’ journey. </w:t>
      </w:r>
      <w:r w:rsidRPr="005B681E">
        <w:rPr>
          <w:rFonts w:cs="Times New Roman"/>
          <w:i/>
          <w:iCs/>
          <w:color w:val="222222"/>
          <w:sz w:val="24"/>
          <w:shd w:val="clear" w:color="auto" w:fill="FFFFFF"/>
        </w:rPr>
        <w:t>Journal of English for Academic Purposes</w:t>
      </w:r>
      <w:r w:rsidRPr="005B681E">
        <w:rPr>
          <w:rFonts w:cs="Times New Roman"/>
          <w:color w:val="222222"/>
          <w:sz w:val="24"/>
          <w:shd w:val="clear" w:color="auto" w:fill="FFFFFF"/>
        </w:rPr>
        <w:t>, </w:t>
      </w:r>
      <w:r w:rsidRPr="005B681E">
        <w:rPr>
          <w:rFonts w:cs="Times New Roman"/>
          <w:i/>
          <w:iCs/>
          <w:color w:val="222222"/>
          <w:sz w:val="24"/>
          <w:shd w:val="clear" w:color="auto" w:fill="FFFFFF"/>
        </w:rPr>
        <w:t>11</w:t>
      </w:r>
      <w:r w:rsidRPr="005B681E">
        <w:rPr>
          <w:rFonts w:cs="Times New Roman"/>
          <w:color w:val="222222"/>
          <w:sz w:val="24"/>
          <w:shd w:val="clear" w:color="auto" w:fill="FFFFFF"/>
        </w:rPr>
        <w:t xml:space="preserve">(1), 26-37. </w:t>
      </w:r>
      <w:hyperlink r:id="rId53" w:tgtFrame="_blank" w:tooltip="Persistent link using digital object identifier" w:history="1">
        <w:r w:rsidRPr="005B681E">
          <w:rPr>
            <w:rStyle w:val="Hyperlink"/>
            <w:rFonts w:cs="Times New Roman"/>
            <w:sz w:val="24"/>
          </w:rPr>
          <w:t>https://doi.org/10.1016/j.jeap.2011.11.006</w:t>
        </w:r>
      </w:hyperlink>
    </w:p>
    <w:p w14:paraId="1D7D1E68" w14:textId="77777777" w:rsidR="00652EE3" w:rsidRPr="00652923" w:rsidRDefault="00652EE3" w:rsidP="00652EE3">
      <w:pPr>
        <w:spacing w:line="480" w:lineRule="auto"/>
        <w:ind w:left="709" w:hanging="709"/>
        <w:jc w:val="left"/>
        <w:rPr>
          <w:rFonts w:cs="Times New Roman"/>
          <w:color w:val="222222"/>
          <w:sz w:val="24"/>
          <w:shd w:val="clear" w:color="auto" w:fill="FFFFFF"/>
        </w:rPr>
      </w:pPr>
      <w:r w:rsidRPr="003C58C7">
        <w:rPr>
          <w:rFonts w:cs="Times New Roman"/>
          <w:color w:val="222222"/>
          <w:sz w:val="24"/>
          <w:shd w:val="clear" w:color="auto" w:fill="FFFFFF"/>
          <w:lang w:val="en-AU"/>
        </w:rPr>
        <w:t xml:space="preserve">Wingate, U, Andon, N., &amp; Cogo, A. (2011). Embedding academic writing instruction into subject teaching: A case study. </w:t>
      </w:r>
      <w:r w:rsidRPr="003C58C7">
        <w:rPr>
          <w:rFonts w:cs="Times New Roman"/>
          <w:i/>
          <w:iCs/>
          <w:color w:val="222222"/>
          <w:sz w:val="24"/>
          <w:shd w:val="clear" w:color="auto" w:fill="FFFFFF"/>
          <w:lang w:val="en-AU"/>
        </w:rPr>
        <w:t>Active Learning in Higher Education</w:t>
      </w:r>
      <w:r w:rsidRPr="003C58C7">
        <w:rPr>
          <w:rFonts w:cs="Times New Roman"/>
          <w:color w:val="222222"/>
          <w:sz w:val="24"/>
          <w:shd w:val="clear" w:color="auto" w:fill="FFFFFF"/>
          <w:lang w:val="en-AU"/>
        </w:rPr>
        <w:t xml:space="preserve">, </w:t>
      </w:r>
      <w:r w:rsidRPr="003C58C7">
        <w:rPr>
          <w:rFonts w:cs="Times New Roman"/>
          <w:i/>
          <w:iCs/>
          <w:color w:val="222222"/>
          <w:sz w:val="24"/>
          <w:shd w:val="clear" w:color="auto" w:fill="FFFFFF"/>
          <w:lang w:val="en-AU"/>
        </w:rPr>
        <w:t>12</w:t>
      </w:r>
      <w:r w:rsidRPr="003C58C7">
        <w:rPr>
          <w:rFonts w:cs="Times New Roman"/>
          <w:color w:val="222222"/>
          <w:sz w:val="24"/>
          <w:shd w:val="clear" w:color="auto" w:fill="FFFFFF"/>
          <w:lang w:val="en-AU"/>
        </w:rPr>
        <w:t xml:space="preserve">(1), 69-81. </w:t>
      </w:r>
      <w:hyperlink r:id="rId54" w:history="1">
        <w:r w:rsidRPr="003C58C7">
          <w:rPr>
            <w:rStyle w:val="Hyperlink"/>
            <w:rFonts w:cs="Times New Roman"/>
            <w:sz w:val="24"/>
            <w:shd w:val="clear" w:color="auto" w:fill="FFFFFF"/>
          </w:rPr>
          <w:t>https://doi.org/10.1177/146978741038781</w:t>
        </w:r>
      </w:hyperlink>
    </w:p>
    <w:p w14:paraId="640438D9" w14:textId="77777777" w:rsidR="00652EE3" w:rsidRPr="003C58C7" w:rsidRDefault="00652EE3" w:rsidP="00652EE3">
      <w:pPr>
        <w:spacing w:line="480" w:lineRule="auto"/>
        <w:ind w:left="709" w:hanging="709"/>
        <w:jc w:val="left"/>
        <w:rPr>
          <w:rFonts w:cs="Times New Roman"/>
          <w:color w:val="222222"/>
          <w:sz w:val="24"/>
          <w:shd w:val="clear" w:color="auto" w:fill="FFFFFF"/>
        </w:rPr>
      </w:pPr>
      <w:r w:rsidRPr="003C58C7">
        <w:rPr>
          <w:rFonts w:cs="Times New Roman"/>
          <w:color w:val="222222"/>
          <w:sz w:val="24"/>
          <w:shd w:val="clear" w:color="auto" w:fill="FFFFFF"/>
        </w:rPr>
        <w:t>Worden, D. (2018). Mediation and development of a novice L2 writing teacher's pedagogical content knowledge of genre. </w:t>
      </w:r>
      <w:r w:rsidRPr="003C58C7">
        <w:rPr>
          <w:rFonts w:cs="Times New Roman"/>
          <w:i/>
          <w:iCs/>
          <w:color w:val="222222"/>
          <w:sz w:val="24"/>
          <w:shd w:val="clear" w:color="auto" w:fill="FFFFFF"/>
        </w:rPr>
        <w:t>Journal of English for Academic Purposes</w:t>
      </w:r>
      <w:r w:rsidRPr="003C58C7">
        <w:rPr>
          <w:rFonts w:cs="Times New Roman"/>
          <w:color w:val="222222"/>
          <w:sz w:val="24"/>
          <w:shd w:val="clear" w:color="auto" w:fill="FFFFFF"/>
        </w:rPr>
        <w:t>, </w:t>
      </w:r>
      <w:r w:rsidRPr="003C58C7">
        <w:rPr>
          <w:rFonts w:cs="Times New Roman"/>
          <w:i/>
          <w:iCs/>
          <w:color w:val="222222"/>
          <w:sz w:val="24"/>
          <w:shd w:val="clear" w:color="auto" w:fill="FFFFFF"/>
        </w:rPr>
        <w:t>34</w:t>
      </w:r>
      <w:r w:rsidRPr="003C58C7">
        <w:rPr>
          <w:rFonts w:cs="Times New Roman"/>
          <w:color w:val="222222"/>
          <w:sz w:val="24"/>
          <w:shd w:val="clear" w:color="auto" w:fill="FFFFFF"/>
        </w:rPr>
        <w:t xml:space="preserve">, 12-27. </w:t>
      </w:r>
      <w:hyperlink r:id="rId55" w:history="1">
        <w:r w:rsidRPr="003C58C7">
          <w:rPr>
            <w:rStyle w:val="Hyperlink"/>
            <w:rFonts w:cs="Times New Roman"/>
            <w:sz w:val="24"/>
            <w:shd w:val="clear" w:color="auto" w:fill="FFFFFF"/>
          </w:rPr>
          <w:t>https://doi.org/10.1016/j.jeap.2018.02.005</w:t>
        </w:r>
      </w:hyperlink>
    </w:p>
    <w:p w14:paraId="1105B819" w14:textId="77777777" w:rsidR="00652EE3" w:rsidRPr="00652923" w:rsidRDefault="00652EE3" w:rsidP="00652EE3">
      <w:pPr>
        <w:spacing w:line="480" w:lineRule="auto"/>
        <w:ind w:left="709" w:hanging="709"/>
        <w:jc w:val="left"/>
        <w:rPr>
          <w:rFonts w:cs="Times New Roman"/>
          <w:sz w:val="24"/>
        </w:rPr>
      </w:pPr>
      <w:r w:rsidRPr="003C58C7">
        <w:rPr>
          <w:rFonts w:cs="Times New Roman"/>
          <w:sz w:val="24"/>
        </w:rPr>
        <w:t xml:space="preserve">Yin, R. K. (2009). </w:t>
      </w:r>
      <w:r w:rsidRPr="003C58C7">
        <w:rPr>
          <w:rFonts w:cs="Times New Roman"/>
          <w:i/>
          <w:iCs/>
          <w:sz w:val="24"/>
        </w:rPr>
        <w:t>Case study research: Design and methods (4th ed.)</w:t>
      </w:r>
      <w:r w:rsidRPr="003C58C7">
        <w:rPr>
          <w:rFonts w:cs="Times New Roman"/>
          <w:sz w:val="24"/>
        </w:rPr>
        <w:t>. Sage.</w:t>
      </w:r>
    </w:p>
    <w:p w14:paraId="237453B3" w14:textId="77777777" w:rsidR="00652EE3" w:rsidRPr="00BC2D44" w:rsidRDefault="00652EE3" w:rsidP="00652EE3">
      <w:pPr>
        <w:pStyle w:val="References"/>
        <w:adjustRightInd/>
        <w:spacing w:line="480" w:lineRule="auto"/>
        <w:rPr>
          <w:b/>
        </w:rPr>
      </w:pPr>
    </w:p>
    <w:p w14:paraId="40BBD1D8" w14:textId="77777777" w:rsidR="00652EE3" w:rsidRDefault="00652EE3" w:rsidP="00652EE3">
      <w:pPr>
        <w:spacing w:line="480" w:lineRule="auto"/>
        <w:ind w:left="709" w:hanging="709"/>
        <w:jc w:val="left"/>
      </w:pPr>
    </w:p>
    <w:p w14:paraId="0DFC78D2" w14:textId="20ADAD74" w:rsidR="00BC2D44" w:rsidRPr="00BC2D44" w:rsidRDefault="00BC2D44" w:rsidP="00652EE3">
      <w:pPr>
        <w:spacing w:line="480" w:lineRule="auto"/>
        <w:jc w:val="left"/>
        <w:rPr>
          <w:b/>
        </w:rPr>
      </w:pPr>
    </w:p>
    <w:sectPr w:rsidR="00BC2D44" w:rsidRPr="00BC2D44" w:rsidSect="0056344D">
      <w:headerReference w:type="even" r:id="rId56"/>
      <w:headerReference w:type="default" r:id="rId57"/>
      <w:footerReference w:type="even" r:id="rId58"/>
      <w:footerReference w:type="default" r:id="rId59"/>
      <w:headerReference w:type="first" r:id="rId60"/>
      <w:footerReference w:type="first" r:id="rId61"/>
      <w:type w:val="continuous"/>
      <w:pgSz w:w="11906" w:h="16838" w:code="9"/>
      <w:pgMar w:top="1440" w:right="1701" w:bottom="1134" w:left="1701" w:header="964" w:footer="720" w:gutter="0"/>
      <w:cols w:space="45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EB8EED" w14:textId="77777777" w:rsidR="00531DC0" w:rsidRDefault="00531DC0">
      <w:r>
        <w:separator/>
      </w:r>
    </w:p>
  </w:endnote>
  <w:endnote w:type="continuationSeparator" w:id="0">
    <w:p w14:paraId="46F53652" w14:textId="77777777" w:rsidR="00531DC0" w:rsidRDefault="00531D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altName w:val="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altName w:val="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altName w:val="Calibri"/>
    <w:panose1 w:val="020F0502020204030204"/>
    <w:charset w:val="00"/>
    <w:family w:val="swiss"/>
    <w:pitch w:val="variable"/>
    <w:sig w:usb0="E4002EFF" w:usb1="C000247B" w:usb2="00000009" w:usb3="00000000" w:csb0="000001FF" w:csb1="00000000"/>
  </w:font>
  <w:font w:name="Roboto">
    <w:panose1 w:val="02000000000000000000"/>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3FA030" w14:textId="77777777" w:rsidR="00BF17E3" w:rsidRDefault="00BF17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C5CE3" w14:textId="77777777" w:rsidR="00BF17E3" w:rsidRDefault="00BF17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C44504" w14:textId="1C4FEB59" w:rsidR="00C078F1" w:rsidRDefault="00CE7B40">
    <w:pPr>
      <w:pStyle w:val="Footer"/>
      <w:tabs>
        <w:tab w:val="center" w:pos="-2700"/>
        <w:tab w:val="center" w:pos="-2160"/>
      </w:tabs>
    </w:pPr>
    <w:r w:rsidRPr="007624FF">
      <w:rPr>
        <w:rStyle w:val="PageNumber"/>
      </w:rPr>
      <w:fldChar w:fldCharType="begin"/>
    </w:r>
    <w:r w:rsidR="007624FF" w:rsidRPr="007624FF">
      <w:rPr>
        <w:rStyle w:val="PageNumber"/>
      </w:rPr>
      <w:instrText xml:space="preserve"> PAGE   \* MERGEFORMAT </w:instrText>
    </w:r>
    <w:r w:rsidRPr="007624FF">
      <w:rPr>
        <w:rStyle w:val="PageNumber"/>
      </w:rPr>
      <w:fldChar w:fldCharType="separate"/>
    </w:r>
    <w:r w:rsidR="0056344D">
      <w:rPr>
        <w:rStyle w:val="PageNumber"/>
        <w:noProof/>
      </w:rPr>
      <w:t>1</w:t>
    </w:r>
    <w:r w:rsidRPr="007624FF">
      <w:rPr>
        <w:rStyle w:val="PageNumber"/>
      </w:rPr>
      <w:fldChar w:fldCharType="end"/>
    </w:r>
    <w:r w:rsidR="00583BF2">
      <w:rPr>
        <w:rStyle w:val="PageNumber"/>
      </w:rPr>
      <w:tab/>
    </w:r>
    <w:r w:rsidR="00583BF2">
      <w:rPr>
        <w:rStyle w:val="PageNumber"/>
      </w:rPr>
      <w:tab/>
      <w:t>© 20</w:t>
    </w:r>
    <w:r w:rsidR="00F25EAD">
      <w:rPr>
        <w:rStyle w:val="PageNumber"/>
      </w:rPr>
      <w:t>2</w:t>
    </w:r>
    <w:r w:rsidR="00C078F1">
      <w:rPr>
        <w:rStyle w:val="PageNumber"/>
      </w:rPr>
      <w:t>? Author Names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266E95" w14:textId="77777777" w:rsidR="00531DC0" w:rsidRDefault="00531DC0">
      <w:r>
        <w:separator/>
      </w:r>
    </w:p>
  </w:footnote>
  <w:footnote w:type="continuationSeparator" w:id="0">
    <w:p w14:paraId="00B17054" w14:textId="77777777" w:rsidR="00531DC0" w:rsidRDefault="00531DC0">
      <w:r>
        <w:continuationSeparator/>
      </w:r>
    </w:p>
  </w:footnote>
  <w:footnote w:id="1">
    <w:p w14:paraId="4D126AEB" w14:textId="77777777" w:rsidR="006C08A2" w:rsidRDefault="006C08A2" w:rsidP="006C08A2">
      <w:pPr>
        <w:pStyle w:val="FootnoteText"/>
      </w:pPr>
      <w:r>
        <w:rPr>
          <w:rStyle w:val="FootnoteReference"/>
        </w:rPr>
        <w:footnoteRef/>
      </w:r>
      <w:r>
        <w:t xml:space="preserve"> British Association of Lecturers of English for Academic Purposes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BE774" w14:textId="61861B40" w:rsidR="00C078F1" w:rsidRDefault="00CE7B40">
    <w:pPr>
      <w:pStyle w:val="Header"/>
    </w:pPr>
    <w:r>
      <w:rPr>
        <w:rStyle w:val="PageNumber"/>
      </w:rPr>
      <w:fldChar w:fldCharType="begin"/>
    </w:r>
    <w:r w:rsidR="00C078F1">
      <w:rPr>
        <w:rStyle w:val="PageNumber"/>
      </w:rPr>
      <w:instrText xml:space="preserve"> PAGE </w:instrText>
    </w:r>
    <w:r>
      <w:rPr>
        <w:rStyle w:val="PageNumber"/>
      </w:rPr>
      <w:fldChar w:fldCharType="separate"/>
    </w:r>
    <w:r w:rsidR="0056344D">
      <w:rPr>
        <w:rStyle w:val="PageNumber"/>
        <w:noProof/>
      </w:rPr>
      <w:t>2</w:t>
    </w:r>
    <w:r>
      <w:rPr>
        <w:rStyle w:val="PageNumber"/>
      </w:rPr>
      <w:fldChar w:fldCharType="end"/>
    </w:r>
    <w:r w:rsidR="00C078F1">
      <w:rPr>
        <w:rStyle w:val="PageNumber"/>
      </w:rPr>
      <w:tab/>
    </w:r>
    <w:r w:rsidR="00C078F1">
      <w:rPr>
        <w:rStyle w:val="PageNumber"/>
        <w:i/>
      </w:rPr>
      <w:t>Short Title of Paper</w:t>
    </w:r>
    <w:r w:rsidR="00C078F1">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3DCE23" w14:textId="001AC553" w:rsidR="00C078F1" w:rsidRDefault="00CE7B40">
    <w:pPr>
      <w:pStyle w:val="Header"/>
    </w:pPr>
    <w:r>
      <w:rPr>
        <w:rStyle w:val="PageNumber"/>
      </w:rPr>
      <w:fldChar w:fldCharType="begin"/>
    </w:r>
    <w:r w:rsidR="00C078F1">
      <w:rPr>
        <w:rStyle w:val="PageNumber"/>
      </w:rPr>
      <w:instrText xml:space="preserve"> PAGE </w:instrText>
    </w:r>
    <w:r>
      <w:rPr>
        <w:rStyle w:val="PageNumber"/>
      </w:rPr>
      <w:fldChar w:fldCharType="separate"/>
    </w:r>
    <w:r w:rsidR="0056344D">
      <w:rPr>
        <w:rStyle w:val="PageNumber"/>
        <w:noProof/>
      </w:rPr>
      <w:t>5</w:t>
    </w:r>
    <w:r>
      <w:rPr>
        <w:rStyle w:val="PageNumber"/>
      </w:rPr>
      <w:fldChar w:fldCharType="end"/>
    </w:r>
    <w:r w:rsidR="00C078F1">
      <w:rPr>
        <w:rStyle w:val="PageNumber"/>
      </w:rPr>
      <w:tab/>
    </w:r>
    <w:r w:rsidR="00C078F1">
      <w:rPr>
        <w:rStyle w:val="PageNumber"/>
        <w:i/>
      </w:rPr>
      <w:t>Author Names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8E368" w14:textId="2DDA79BB" w:rsidR="00C078F1" w:rsidRPr="00346D45" w:rsidRDefault="00121D7F" w:rsidP="005C4549">
    <w:pPr>
      <w:pStyle w:val="JournalName"/>
    </w:pPr>
    <w:r>
      <mc:AlternateContent>
        <mc:Choice Requires="wpg">
          <w:drawing>
            <wp:anchor distT="0" distB="0" distL="114300" distR="114300" simplePos="0" relativeHeight="251659264" behindDoc="0" locked="0" layoutInCell="1" allowOverlap="1" wp14:anchorId="53234163" wp14:editId="77531336">
              <wp:simplePos x="0" y="0"/>
              <wp:positionH relativeFrom="column">
                <wp:posOffset>4251960</wp:posOffset>
              </wp:positionH>
              <wp:positionV relativeFrom="paragraph">
                <wp:posOffset>-36830</wp:posOffset>
              </wp:positionV>
              <wp:extent cx="1420495" cy="580390"/>
              <wp:effectExtent l="0" t="0" r="0" b="0"/>
              <wp:wrapNone/>
              <wp:docPr id="8" name="Group 8"/>
              <wp:cNvGraphicFramePr/>
              <a:graphic xmlns:a="http://schemas.openxmlformats.org/drawingml/2006/main">
                <a:graphicData uri="http://schemas.microsoft.com/office/word/2010/wordprocessingGroup">
                  <wpg:wgp>
                    <wpg:cNvGrpSpPr/>
                    <wpg:grpSpPr>
                      <a:xfrm>
                        <a:off x="0" y="0"/>
                        <a:ext cx="1420495" cy="580390"/>
                        <a:chOff x="0" y="0"/>
                        <a:chExt cx="1420670" cy="580390"/>
                      </a:xfrm>
                    </wpg:grpSpPr>
                    <wps:wsp>
                      <wps:cNvPr id="4" name="Text Box 4"/>
                      <wps:cNvSpPr txBox="1"/>
                      <wps:spPr>
                        <a:xfrm>
                          <a:off x="593734" y="52610"/>
                          <a:ext cx="826936" cy="429370"/>
                        </a:xfrm>
                        <a:prstGeom prst="rect">
                          <a:avLst/>
                        </a:prstGeom>
                        <a:noFill/>
                        <a:ln w="6350">
                          <a:noFill/>
                        </a:ln>
                      </wps:spPr>
                      <wps:txbx>
                        <w:txbxContent>
                          <w:p w14:paraId="13184FF3" w14:textId="77777777" w:rsidR="00AA17BA" w:rsidRPr="00EB0C5A" w:rsidRDefault="00AA17BA" w:rsidP="00B75CA8">
                            <w:pPr>
                              <w:pStyle w:val="logo"/>
                              <w:spacing w:line="216" w:lineRule="auto"/>
                              <w:rPr>
                                <w:rFonts w:ascii="Roboto" w:hAnsi="Roboto" w:cstheme="minorHAnsi"/>
                                <w:caps/>
                                <w:color w:val="00000E"/>
                                <w:sz w:val="10"/>
                                <w:szCs w:val="10"/>
                              </w:rPr>
                            </w:pPr>
                            <w:r w:rsidRPr="00EB0C5A">
                              <w:rPr>
                                <w:rFonts w:ascii="Roboto" w:hAnsi="Roboto" w:cstheme="minorHAnsi"/>
                                <w:caps/>
                                <w:color w:val="00000E"/>
                                <w:sz w:val="10"/>
                                <w:szCs w:val="10"/>
                              </w:rPr>
                              <w:t xml:space="preserve">Association for </w:t>
                            </w:r>
                          </w:p>
                          <w:p w14:paraId="26BFDD6B" w14:textId="77777777" w:rsidR="00AA17BA" w:rsidRPr="00EB0C5A" w:rsidRDefault="00AA17BA" w:rsidP="00B75CA8">
                            <w:pPr>
                              <w:pStyle w:val="logo"/>
                              <w:spacing w:line="216" w:lineRule="auto"/>
                              <w:rPr>
                                <w:rFonts w:ascii="Roboto" w:hAnsi="Roboto" w:cstheme="minorHAnsi"/>
                                <w:caps/>
                                <w:color w:val="00000E"/>
                                <w:sz w:val="10"/>
                                <w:szCs w:val="10"/>
                              </w:rPr>
                            </w:pPr>
                            <w:r w:rsidRPr="00EB0C5A">
                              <w:rPr>
                                <w:rFonts w:ascii="Roboto" w:hAnsi="Roboto" w:cstheme="minorHAnsi"/>
                                <w:caps/>
                                <w:color w:val="00000E"/>
                                <w:sz w:val="10"/>
                                <w:szCs w:val="10"/>
                              </w:rPr>
                              <w:t>Academic</w:t>
                            </w:r>
                          </w:p>
                          <w:p w14:paraId="299E17EE" w14:textId="77777777" w:rsidR="00AA17BA" w:rsidRPr="00EB0C5A" w:rsidRDefault="00AA17BA" w:rsidP="00B75CA8">
                            <w:pPr>
                              <w:pStyle w:val="logo"/>
                              <w:spacing w:line="216" w:lineRule="auto"/>
                              <w:rPr>
                                <w:rFonts w:ascii="Roboto" w:hAnsi="Roboto" w:cstheme="minorHAnsi"/>
                                <w:caps/>
                                <w:color w:val="00000E"/>
                                <w:sz w:val="10"/>
                                <w:szCs w:val="10"/>
                              </w:rPr>
                            </w:pPr>
                            <w:r w:rsidRPr="00EB0C5A">
                              <w:rPr>
                                <w:rFonts w:ascii="Roboto" w:hAnsi="Roboto" w:cstheme="minorHAnsi"/>
                                <w:caps/>
                                <w:color w:val="00000E"/>
                                <w:sz w:val="10"/>
                                <w:szCs w:val="10"/>
                              </w:rPr>
                              <w:t>Language</w:t>
                            </w:r>
                            <w:r w:rsidR="00121D7F">
                              <w:rPr>
                                <w:rFonts w:ascii="Roboto" w:hAnsi="Roboto" w:cstheme="minorHAnsi"/>
                                <w:caps/>
                                <w:color w:val="00000E"/>
                                <w:sz w:val="10"/>
                                <w:szCs w:val="10"/>
                              </w:rPr>
                              <w:t xml:space="preserve"> </w:t>
                            </w:r>
                            <w:r w:rsidRPr="00EB0C5A">
                              <w:rPr>
                                <w:rFonts w:ascii="Roboto" w:hAnsi="Roboto" w:cstheme="minorHAnsi"/>
                                <w:caps/>
                                <w:color w:val="00000E"/>
                                <w:sz w:val="10"/>
                                <w:szCs w:val="10"/>
                              </w:rPr>
                              <w:t xml:space="preserve">and </w:t>
                            </w:r>
                          </w:p>
                          <w:p w14:paraId="3108D8EF" w14:textId="77777777" w:rsidR="00AA17BA" w:rsidRPr="00EB0C5A" w:rsidRDefault="00AA17BA" w:rsidP="00B75CA8">
                            <w:pPr>
                              <w:spacing w:before="0" w:after="0" w:line="216" w:lineRule="auto"/>
                              <w:jc w:val="left"/>
                              <w:rPr>
                                <w:rFonts w:asciiTheme="minorHAnsi" w:hAnsiTheme="minorHAnsi" w:cstheme="minorHAnsi"/>
                                <w:caps/>
                                <w:color w:val="00000E"/>
                                <w:sz w:val="10"/>
                                <w:szCs w:val="10"/>
                              </w:rPr>
                            </w:pPr>
                            <w:r w:rsidRPr="00EB0C5A">
                              <w:rPr>
                                <w:rFonts w:ascii="Roboto" w:hAnsi="Roboto" w:cstheme="minorHAnsi"/>
                                <w:caps/>
                                <w:color w:val="00000E"/>
                                <w:sz w:val="10"/>
                                <w:szCs w:val="10"/>
                              </w:rPr>
                              <w:t>Learning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5" name="Picture 5"/>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9765" cy="580390"/>
                        </a:xfrm>
                        <a:prstGeom prst="rect">
                          <a:avLst/>
                        </a:prstGeom>
                        <a:noFill/>
                        <a:ln>
                          <a:noFill/>
                        </a:ln>
                      </pic:spPr>
                    </pic:pic>
                  </wpg:wgp>
                </a:graphicData>
              </a:graphic>
            </wp:anchor>
          </w:drawing>
        </mc:Choice>
        <mc:Fallback>
          <w:pict>
            <v:group w14:anchorId="53234163" id="Group 8" o:spid="_x0000_s1026" style="position:absolute;left:0;text-align:left;margin-left:334.8pt;margin-top:-2.9pt;width:111.85pt;height:45.7pt;z-index:251659264" coordsize="14206,580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">
              <v:shapetype id="_x0000_t202" coordsize="21600,21600" o:spt="202" path="m,l,21600r21600,l21600,xe">
                <v:stroke joinstyle="miter"/>
                <v:path gradientshapeok="t" o:connecttype="rect"/>
              </v:shapetype>
              <v:shape id="Text Box 4" o:spid="_x0000_s1027" type="#_x0000_t202" style="position:absolute;left:5937;top:526;width:8269;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" filled="f" stroked="f" strokeweight=".5pt">
                <v:textbox>
                  <w:txbxContent>
                    <w:p w14:paraId="13184FF3" w14:textId="77777777" w:rsidR="00AA17BA" w:rsidRPr="00EB0C5A" w:rsidRDefault="00AA17BA" w:rsidP="00B75CA8">
                      <w:pPr>
                        <w:pStyle w:val="logo"/>
                        <w:spacing w:line="216" w:lineRule="auto"/>
                        <w:rPr>
                          <w:rFonts w:ascii="Roboto" w:hAnsi="Roboto" w:cstheme="minorHAnsi"/>
                          <w:caps/>
                          <w:color w:val="00000E"/>
                          <w:sz w:val="10"/>
                          <w:szCs w:val="10"/>
                        </w:rPr>
                      </w:pPr>
                      <w:r w:rsidRPr="00EB0C5A">
                        <w:rPr>
                          <w:rFonts w:ascii="Roboto" w:hAnsi="Roboto" w:cstheme="minorHAnsi"/>
                          <w:caps/>
                          <w:color w:val="00000E"/>
                          <w:sz w:val="10"/>
                          <w:szCs w:val="10"/>
                        </w:rPr>
                        <w:t xml:space="preserve">Association for </w:t>
                      </w:r>
                    </w:p>
                    <w:p w14:paraId="26BFDD6B" w14:textId="77777777" w:rsidR="00AA17BA" w:rsidRPr="00EB0C5A" w:rsidRDefault="00AA17BA" w:rsidP="00B75CA8">
                      <w:pPr>
                        <w:pStyle w:val="logo"/>
                        <w:spacing w:line="216" w:lineRule="auto"/>
                        <w:rPr>
                          <w:rFonts w:ascii="Roboto" w:hAnsi="Roboto" w:cstheme="minorHAnsi"/>
                          <w:caps/>
                          <w:color w:val="00000E"/>
                          <w:sz w:val="10"/>
                          <w:szCs w:val="10"/>
                        </w:rPr>
                      </w:pPr>
                      <w:r w:rsidRPr="00EB0C5A">
                        <w:rPr>
                          <w:rFonts w:ascii="Roboto" w:hAnsi="Roboto" w:cstheme="minorHAnsi"/>
                          <w:caps/>
                          <w:color w:val="00000E"/>
                          <w:sz w:val="10"/>
                          <w:szCs w:val="10"/>
                        </w:rPr>
                        <w:t>Academic</w:t>
                      </w:r>
                    </w:p>
                    <w:p w14:paraId="299E17EE" w14:textId="77777777" w:rsidR="00AA17BA" w:rsidRPr="00EB0C5A" w:rsidRDefault="00AA17BA" w:rsidP="00B75CA8">
                      <w:pPr>
                        <w:pStyle w:val="logo"/>
                        <w:spacing w:line="216" w:lineRule="auto"/>
                        <w:rPr>
                          <w:rFonts w:ascii="Roboto" w:hAnsi="Roboto" w:cstheme="minorHAnsi"/>
                          <w:caps/>
                          <w:color w:val="00000E"/>
                          <w:sz w:val="10"/>
                          <w:szCs w:val="10"/>
                        </w:rPr>
                      </w:pPr>
                      <w:r w:rsidRPr="00EB0C5A">
                        <w:rPr>
                          <w:rFonts w:ascii="Roboto" w:hAnsi="Roboto" w:cstheme="minorHAnsi"/>
                          <w:caps/>
                          <w:color w:val="00000E"/>
                          <w:sz w:val="10"/>
                          <w:szCs w:val="10"/>
                        </w:rPr>
                        <w:t>Language</w:t>
                      </w:r>
                      <w:r w:rsidR="00121D7F">
                        <w:rPr>
                          <w:rFonts w:ascii="Roboto" w:hAnsi="Roboto" w:cstheme="minorHAnsi"/>
                          <w:caps/>
                          <w:color w:val="00000E"/>
                          <w:sz w:val="10"/>
                          <w:szCs w:val="10"/>
                        </w:rPr>
                        <w:t xml:space="preserve"> </w:t>
                      </w:r>
                      <w:r w:rsidRPr="00EB0C5A">
                        <w:rPr>
                          <w:rFonts w:ascii="Roboto" w:hAnsi="Roboto" w:cstheme="minorHAnsi"/>
                          <w:caps/>
                          <w:color w:val="00000E"/>
                          <w:sz w:val="10"/>
                          <w:szCs w:val="10"/>
                        </w:rPr>
                        <w:t xml:space="preserve">and </w:t>
                      </w:r>
                    </w:p>
                    <w:p w14:paraId="3108D8EF" w14:textId="77777777" w:rsidR="00AA17BA" w:rsidRPr="00EB0C5A" w:rsidRDefault="00AA17BA" w:rsidP="00B75CA8">
                      <w:pPr>
                        <w:spacing w:before="0" w:after="0" w:line="216" w:lineRule="auto"/>
                        <w:jc w:val="left"/>
                        <w:rPr>
                          <w:rFonts w:asciiTheme="minorHAnsi" w:hAnsiTheme="minorHAnsi" w:cstheme="minorHAnsi"/>
                          <w:caps/>
                          <w:color w:val="00000E"/>
                          <w:sz w:val="10"/>
                          <w:szCs w:val="10"/>
                        </w:rPr>
                      </w:pPr>
                      <w:r w:rsidRPr="00EB0C5A">
                        <w:rPr>
                          <w:rFonts w:ascii="Roboto" w:hAnsi="Roboto" w:cstheme="minorHAnsi"/>
                          <w:caps/>
                          <w:color w:val="00000E"/>
                          <w:sz w:val="10"/>
                          <w:szCs w:val="10"/>
                        </w:rPr>
                        <w:t>Learning</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8" type="#_x0000_t75" style="position:absolute;width:6597;height:58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">
                <v:imagedata r:id="rId2" o:title=""/>
              </v:shape>
            </v:group>
          </w:pict>
        </mc:Fallback>
      </mc:AlternateContent>
    </w:r>
    <w:r w:rsidR="00C078F1">
      <w:t>Journal of Academic Language &amp; Learning</w:t>
    </w:r>
    <w:r w:rsidR="00C078F1">
      <w:tab/>
    </w:r>
  </w:p>
  <w:p w14:paraId="34A8EEA3" w14:textId="705575C6" w:rsidR="00C078F1" w:rsidRDefault="00C078F1" w:rsidP="00024603">
    <w:pPr>
      <w:pStyle w:val="Header"/>
      <w:spacing w:after="0"/>
      <w:rPr>
        <w:i/>
      </w:rPr>
    </w:pPr>
    <w:r>
      <w:rPr>
        <w:rFonts w:ascii="Arial" w:hAnsi="Arial"/>
        <w:sz w:val="20"/>
      </w:rPr>
      <w:t xml:space="preserve"> </w:t>
    </w:r>
    <w:r w:rsidR="005C4549">
      <w:t>Vol. ?, No. ?, 20</w:t>
    </w:r>
    <w:r w:rsidR="00F25EAD">
      <w:t>2</w:t>
    </w:r>
    <w:r>
      <w:t xml:space="preserve">?, A?-A?.  </w:t>
    </w:r>
    <w:r>
      <w:rPr>
        <w:rStyle w:val="PageNumber"/>
      </w:rPr>
      <w:t>ISSN 1835-5196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E4C2A"/>
    <w:multiLevelType w:val="hybridMultilevel"/>
    <w:tmpl w:val="81BCA6B0"/>
    <w:lvl w:ilvl="0" w:tplc="284E90D6">
      <w:start w:val="1"/>
      <w:numFmt w:val="bullet"/>
      <w:pStyle w:val="bulletedlist"/>
      <w:lvlText w:val=""/>
      <w:lvlJc w:val="left"/>
      <w:pPr>
        <w:tabs>
          <w:tab w:val="num" w:pos="644"/>
        </w:tabs>
        <w:ind w:left="644" w:hanging="360"/>
      </w:pPr>
      <w:rPr>
        <w:rFonts w:ascii="Symbol" w:hAnsi="Symbol" w:hint="default"/>
        <w:color w:val="auto"/>
      </w:rPr>
    </w:lvl>
    <w:lvl w:ilvl="1" w:tplc="0C090003" w:tentative="1">
      <w:start w:val="1"/>
      <w:numFmt w:val="bullet"/>
      <w:lvlText w:val="o"/>
      <w:lvlJc w:val="left"/>
      <w:pPr>
        <w:tabs>
          <w:tab w:val="num" w:pos="1724"/>
        </w:tabs>
        <w:ind w:left="1724" w:hanging="360"/>
      </w:pPr>
      <w:rPr>
        <w:rFonts w:ascii="Courier New" w:hAnsi="Courier New" w:cs="Courier New" w:hint="default"/>
      </w:rPr>
    </w:lvl>
    <w:lvl w:ilvl="2" w:tplc="0C090005" w:tentative="1">
      <w:start w:val="1"/>
      <w:numFmt w:val="bullet"/>
      <w:lvlText w:val=""/>
      <w:lvlJc w:val="left"/>
      <w:pPr>
        <w:tabs>
          <w:tab w:val="num" w:pos="2444"/>
        </w:tabs>
        <w:ind w:left="2444" w:hanging="360"/>
      </w:pPr>
      <w:rPr>
        <w:rFonts w:ascii="Wingdings" w:hAnsi="Wingdings" w:hint="default"/>
      </w:rPr>
    </w:lvl>
    <w:lvl w:ilvl="3" w:tplc="0C090001" w:tentative="1">
      <w:start w:val="1"/>
      <w:numFmt w:val="bullet"/>
      <w:lvlText w:val=""/>
      <w:lvlJc w:val="left"/>
      <w:pPr>
        <w:tabs>
          <w:tab w:val="num" w:pos="3164"/>
        </w:tabs>
        <w:ind w:left="3164" w:hanging="360"/>
      </w:pPr>
      <w:rPr>
        <w:rFonts w:ascii="Symbol" w:hAnsi="Symbol" w:hint="default"/>
      </w:rPr>
    </w:lvl>
    <w:lvl w:ilvl="4" w:tplc="0C090003" w:tentative="1">
      <w:start w:val="1"/>
      <w:numFmt w:val="bullet"/>
      <w:lvlText w:val="o"/>
      <w:lvlJc w:val="left"/>
      <w:pPr>
        <w:tabs>
          <w:tab w:val="num" w:pos="3884"/>
        </w:tabs>
        <w:ind w:left="3884" w:hanging="360"/>
      </w:pPr>
      <w:rPr>
        <w:rFonts w:ascii="Courier New" w:hAnsi="Courier New" w:cs="Courier New" w:hint="default"/>
      </w:rPr>
    </w:lvl>
    <w:lvl w:ilvl="5" w:tplc="0C090005" w:tentative="1">
      <w:start w:val="1"/>
      <w:numFmt w:val="bullet"/>
      <w:lvlText w:val=""/>
      <w:lvlJc w:val="left"/>
      <w:pPr>
        <w:tabs>
          <w:tab w:val="num" w:pos="4604"/>
        </w:tabs>
        <w:ind w:left="4604" w:hanging="360"/>
      </w:pPr>
      <w:rPr>
        <w:rFonts w:ascii="Wingdings" w:hAnsi="Wingdings" w:hint="default"/>
      </w:rPr>
    </w:lvl>
    <w:lvl w:ilvl="6" w:tplc="0C090001" w:tentative="1">
      <w:start w:val="1"/>
      <w:numFmt w:val="bullet"/>
      <w:lvlText w:val=""/>
      <w:lvlJc w:val="left"/>
      <w:pPr>
        <w:tabs>
          <w:tab w:val="num" w:pos="5324"/>
        </w:tabs>
        <w:ind w:left="5324" w:hanging="360"/>
      </w:pPr>
      <w:rPr>
        <w:rFonts w:ascii="Symbol" w:hAnsi="Symbol" w:hint="default"/>
      </w:rPr>
    </w:lvl>
    <w:lvl w:ilvl="7" w:tplc="0C090003" w:tentative="1">
      <w:start w:val="1"/>
      <w:numFmt w:val="bullet"/>
      <w:lvlText w:val="o"/>
      <w:lvlJc w:val="left"/>
      <w:pPr>
        <w:tabs>
          <w:tab w:val="num" w:pos="6044"/>
        </w:tabs>
        <w:ind w:left="6044" w:hanging="360"/>
      </w:pPr>
      <w:rPr>
        <w:rFonts w:ascii="Courier New" w:hAnsi="Courier New" w:cs="Courier New" w:hint="default"/>
      </w:rPr>
    </w:lvl>
    <w:lvl w:ilvl="8" w:tplc="0C090005" w:tentative="1">
      <w:start w:val="1"/>
      <w:numFmt w:val="bullet"/>
      <w:lvlText w:val=""/>
      <w:lvlJc w:val="left"/>
      <w:pPr>
        <w:tabs>
          <w:tab w:val="num" w:pos="6764"/>
        </w:tabs>
        <w:ind w:left="6764" w:hanging="360"/>
      </w:pPr>
      <w:rPr>
        <w:rFonts w:ascii="Wingdings" w:hAnsi="Wingdings" w:hint="default"/>
      </w:rPr>
    </w:lvl>
  </w:abstractNum>
  <w:abstractNum w:abstractNumId="1" w15:restartNumberingAfterBreak="0">
    <w:nsid w:val="1CE66D00"/>
    <w:multiLevelType w:val="multilevel"/>
    <w:tmpl w:val="3F10AC66"/>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 w15:restartNumberingAfterBreak="0">
    <w:nsid w:val="32D1406F"/>
    <w:multiLevelType w:val="hybridMultilevel"/>
    <w:tmpl w:val="5E7AE2BE"/>
    <w:lvl w:ilvl="0" w:tplc="D4CC3BF0">
      <w:start w:val="1"/>
      <w:numFmt w:val="decimal"/>
      <w:pStyle w:val="numberedlist"/>
      <w:lvlText w:val="%1."/>
      <w:lvlJc w:val="left"/>
      <w:pPr>
        <w:tabs>
          <w:tab w:val="num" w:pos="644"/>
        </w:tabs>
        <w:ind w:left="64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541556127">
    <w:abstractNumId w:val="0"/>
  </w:num>
  <w:num w:numId="2" w16cid:durableId="970937103">
    <w:abstractNumId w:val="2"/>
  </w:num>
  <w:num w:numId="3" w16cid:durableId="1220050942">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3"/>
  <w:removePersonalInformation/>
  <w:removeDateAndTime/>
  <w:hideSpellingErrors/>
  <w:hideGrammaticalErrors/>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evenAndOddHeader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D9B"/>
    <w:rsid w:val="00013884"/>
    <w:rsid w:val="00024603"/>
    <w:rsid w:val="00024B4E"/>
    <w:rsid w:val="00042CA6"/>
    <w:rsid w:val="000439EF"/>
    <w:rsid w:val="00043A54"/>
    <w:rsid w:val="00044FDA"/>
    <w:rsid w:val="0004751D"/>
    <w:rsid w:val="00074A57"/>
    <w:rsid w:val="00092F1D"/>
    <w:rsid w:val="000A0494"/>
    <w:rsid w:val="000C652A"/>
    <w:rsid w:val="000D1D1B"/>
    <w:rsid w:val="000D6AB0"/>
    <w:rsid w:val="000F4106"/>
    <w:rsid w:val="001146FD"/>
    <w:rsid w:val="00121D7F"/>
    <w:rsid w:val="00135A47"/>
    <w:rsid w:val="00137CB1"/>
    <w:rsid w:val="001404DA"/>
    <w:rsid w:val="001424B4"/>
    <w:rsid w:val="0015436E"/>
    <w:rsid w:val="00167C7A"/>
    <w:rsid w:val="00175C8F"/>
    <w:rsid w:val="00175FA7"/>
    <w:rsid w:val="00194FDC"/>
    <w:rsid w:val="001A5D81"/>
    <w:rsid w:val="001A6A5B"/>
    <w:rsid w:val="001B4265"/>
    <w:rsid w:val="001C5A3A"/>
    <w:rsid w:val="001E2C26"/>
    <w:rsid w:val="00211222"/>
    <w:rsid w:val="002340B9"/>
    <w:rsid w:val="0023549F"/>
    <w:rsid w:val="002444B7"/>
    <w:rsid w:val="00253132"/>
    <w:rsid w:val="002546B3"/>
    <w:rsid w:val="00262402"/>
    <w:rsid w:val="00275442"/>
    <w:rsid w:val="00276F0A"/>
    <w:rsid w:val="00284177"/>
    <w:rsid w:val="002A5CF8"/>
    <w:rsid w:val="002D0037"/>
    <w:rsid w:val="002F52EC"/>
    <w:rsid w:val="002F55AD"/>
    <w:rsid w:val="002F7148"/>
    <w:rsid w:val="003342BD"/>
    <w:rsid w:val="003459D8"/>
    <w:rsid w:val="00346D45"/>
    <w:rsid w:val="00371920"/>
    <w:rsid w:val="00374878"/>
    <w:rsid w:val="00393FE5"/>
    <w:rsid w:val="003A2757"/>
    <w:rsid w:val="003A6249"/>
    <w:rsid w:val="003C0073"/>
    <w:rsid w:val="003C5982"/>
    <w:rsid w:val="003D2ACD"/>
    <w:rsid w:val="003E5204"/>
    <w:rsid w:val="003F4058"/>
    <w:rsid w:val="00402807"/>
    <w:rsid w:val="00404571"/>
    <w:rsid w:val="00443FA1"/>
    <w:rsid w:val="0045192B"/>
    <w:rsid w:val="00453CD5"/>
    <w:rsid w:val="00462D35"/>
    <w:rsid w:val="00466D64"/>
    <w:rsid w:val="00471185"/>
    <w:rsid w:val="004729B2"/>
    <w:rsid w:val="00472EBC"/>
    <w:rsid w:val="00492281"/>
    <w:rsid w:val="004924F1"/>
    <w:rsid w:val="004A0F89"/>
    <w:rsid w:val="004B645E"/>
    <w:rsid w:val="004C3A1F"/>
    <w:rsid w:val="004D59FE"/>
    <w:rsid w:val="004D7323"/>
    <w:rsid w:val="004F1C37"/>
    <w:rsid w:val="004F4724"/>
    <w:rsid w:val="004F4BCE"/>
    <w:rsid w:val="0050196A"/>
    <w:rsid w:val="00526183"/>
    <w:rsid w:val="0052651E"/>
    <w:rsid w:val="00531DC0"/>
    <w:rsid w:val="00542D1D"/>
    <w:rsid w:val="00545C64"/>
    <w:rsid w:val="0056344D"/>
    <w:rsid w:val="00572481"/>
    <w:rsid w:val="00581B9E"/>
    <w:rsid w:val="00583BF2"/>
    <w:rsid w:val="00590538"/>
    <w:rsid w:val="00594ABD"/>
    <w:rsid w:val="005B553C"/>
    <w:rsid w:val="005C4549"/>
    <w:rsid w:val="005E3C50"/>
    <w:rsid w:val="005E4279"/>
    <w:rsid w:val="005E6A9F"/>
    <w:rsid w:val="005F0CDC"/>
    <w:rsid w:val="005F262D"/>
    <w:rsid w:val="006043BD"/>
    <w:rsid w:val="00605EDD"/>
    <w:rsid w:val="0062157C"/>
    <w:rsid w:val="00622995"/>
    <w:rsid w:val="00622DE8"/>
    <w:rsid w:val="006320C6"/>
    <w:rsid w:val="0064139B"/>
    <w:rsid w:val="00652923"/>
    <w:rsid w:val="00652EE3"/>
    <w:rsid w:val="006608CE"/>
    <w:rsid w:val="006612B0"/>
    <w:rsid w:val="00674214"/>
    <w:rsid w:val="00677A8A"/>
    <w:rsid w:val="006816E6"/>
    <w:rsid w:val="006A58CF"/>
    <w:rsid w:val="006B7ABC"/>
    <w:rsid w:val="006C08A2"/>
    <w:rsid w:val="006C723F"/>
    <w:rsid w:val="006D0179"/>
    <w:rsid w:val="006D02B5"/>
    <w:rsid w:val="006D3B6C"/>
    <w:rsid w:val="006D78EF"/>
    <w:rsid w:val="006E6541"/>
    <w:rsid w:val="006F3E06"/>
    <w:rsid w:val="006F40F9"/>
    <w:rsid w:val="006F6D5A"/>
    <w:rsid w:val="00720B34"/>
    <w:rsid w:val="00720E2A"/>
    <w:rsid w:val="007330A2"/>
    <w:rsid w:val="0075236E"/>
    <w:rsid w:val="00756E24"/>
    <w:rsid w:val="007623D0"/>
    <w:rsid w:val="007624FF"/>
    <w:rsid w:val="007802E9"/>
    <w:rsid w:val="00790600"/>
    <w:rsid w:val="007A01B7"/>
    <w:rsid w:val="007A085F"/>
    <w:rsid w:val="007A1DBE"/>
    <w:rsid w:val="007B54C6"/>
    <w:rsid w:val="007B5EFF"/>
    <w:rsid w:val="007C34A3"/>
    <w:rsid w:val="007D4BA2"/>
    <w:rsid w:val="007D636A"/>
    <w:rsid w:val="007F01B6"/>
    <w:rsid w:val="007F2C52"/>
    <w:rsid w:val="007F3ACF"/>
    <w:rsid w:val="007F5209"/>
    <w:rsid w:val="00803C48"/>
    <w:rsid w:val="0080480A"/>
    <w:rsid w:val="00811761"/>
    <w:rsid w:val="00820514"/>
    <w:rsid w:val="00841A7D"/>
    <w:rsid w:val="0084407F"/>
    <w:rsid w:val="00844F3B"/>
    <w:rsid w:val="008473AF"/>
    <w:rsid w:val="00873BDA"/>
    <w:rsid w:val="0087661D"/>
    <w:rsid w:val="008772D2"/>
    <w:rsid w:val="008A5195"/>
    <w:rsid w:val="008C12CC"/>
    <w:rsid w:val="008C5DAF"/>
    <w:rsid w:val="008D3302"/>
    <w:rsid w:val="008D62E9"/>
    <w:rsid w:val="008E6771"/>
    <w:rsid w:val="008F59FD"/>
    <w:rsid w:val="009159B2"/>
    <w:rsid w:val="00927107"/>
    <w:rsid w:val="00946B7F"/>
    <w:rsid w:val="00947A7F"/>
    <w:rsid w:val="009521E8"/>
    <w:rsid w:val="00965B81"/>
    <w:rsid w:val="00972584"/>
    <w:rsid w:val="0097274B"/>
    <w:rsid w:val="009843E0"/>
    <w:rsid w:val="009B0E3C"/>
    <w:rsid w:val="009B1AC9"/>
    <w:rsid w:val="009D4894"/>
    <w:rsid w:val="009E2802"/>
    <w:rsid w:val="009F5FA8"/>
    <w:rsid w:val="00A00807"/>
    <w:rsid w:val="00A027DB"/>
    <w:rsid w:val="00A1373F"/>
    <w:rsid w:val="00A1542B"/>
    <w:rsid w:val="00A419AA"/>
    <w:rsid w:val="00A4368C"/>
    <w:rsid w:val="00A45140"/>
    <w:rsid w:val="00A45FAF"/>
    <w:rsid w:val="00A52A7C"/>
    <w:rsid w:val="00A55A5E"/>
    <w:rsid w:val="00A63A72"/>
    <w:rsid w:val="00A6450A"/>
    <w:rsid w:val="00A70123"/>
    <w:rsid w:val="00A834C3"/>
    <w:rsid w:val="00A842B1"/>
    <w:rsid w:val="00A906EA"/>
    <w:rsid w:val="00AA17BA"/>
    <w:rsid w:val="00AC4BF5"/>
    <w:rsid w:val="00AD2D6D"/>
    <w:rsid w:val="00AD6658"/>
    <w:rsid w:val="00B00C82"/>
    <w:rsid w:val="00B048E7"/>
    <w:rsid w:val="00B11993"/>
    <w:rsid w:val="00B144CF"/>
    <w:rsid w:val="00B27E06"/>
    <w:rsid w:val="00B347D9"/>
    <w:rsid w:val="00B73084"/>
    <w:rsid w:val="00B759D0"/>
    <w:rsid w:val="00B75CA8"/>
    <w:rsid w:val="00B84AAD"/>
    <w:rsid w:val="00B900CF"/>
    <w:rsid w:val="00B91A0D"/>
    <w:rsid w:val="00BA121D"/>
    <w:rsid w:val="00BB7572"/>
    <w:rsid w:val="00BC2D44"/>
    <w:rsid w:val="00BD058C"/>
    <w:rsid w:val="00BD562F"/>
    <w:rsid w:val="00BD7173"/>
    <w:rsid w:val="00BD7F1C"/>
    <w:rsid w:val="00BE27A1"/>
    <w:rsid w:val="00BE788D"/>
    <w:rsid w:val="00BF17E3"/>
    <w:rsid w:val="00BF5D9B"/>
    <w:rsid w:val="00BF7B8A"/>
    <w:rsid w:val="00C078F1"/>
    <w:rsid w:val="00C13103"/>
    <w:rsid w:val="00C26534"/>
    <w:rsid w:val="00C33297"/>
    <w:rsid w:val="00C63093"/>
    <w:rsid w:val="00C750B3"/>
    <w:rsid w:val="00C80084"/>
    <w:rsid w:val="00C87159"/>
    <w:rsid w:val="00C93D47"/>
    <w:rsid w:val="00CB1AF8"/>
    <w:rsid w:val="00CD0630"/>
    <w:rsid w:val="00CE7B40"/>
    <w:rsid w:val="00CE7EEB"/>
    <w:rsid w:val="00CF2253"/>
    <w:rsid w:val="00D065A1"/>
    <w:rsid w:val="00D076D2"/>
    <w:rsid w:val="00D11D37"/>
    <w:rsid w:val="00D24D9A"/>
    <w:rsid w:val="00D309F8"/>
    <w:rsid w:val="00D3262E"/>
    <w:rsid w:val="00D34B41"/>
    <w:rsid w:val="00D40F46"/>
    <w:rsid w:val="00D56C2B"/>
    <w:rsid w:val="00D6699C"/>
    <w:rsid w:val="00D71595"/>
    <w:rsid w:val="00D745B3"/>
    <w:rsid w:val="00D83625"/>
    <w:rsid w:val="00DA1F27"/>
    <w:rsid w:val="00DB638F"/>
    <w:rsid w:val="00DB7694"/>
    <w:rsid w:val="00DC7C23"/>
    <w:rsid w:val="00DD58C3"/>
    <w:rsid w:val="00DE2026"/>
    <w:rsid w:val="00DE6005"/>
    <w:rsid w:val="00DE6DE7"/>
    <w:rsid w:val="00DF121B"/>
    <w:rsid w:val="00DF3712"/>
    <w:rsid w:val="00DF4CEF"/>
    <w:rsid w:val="00E100EE"/>
    <w:rsid w:val="00E142F7"/>
    <w:rsid w:val="00E3284D"/>
    <w:rsid w:val="00E334BC"/>
    <w:rsid w:val="00E35575"/>
    <w:rsid w:val="00E427C2"/>
    <w:rsid w:val="00E45FE4"/>
    <w:rsid w:val="00E478E0"/>
    <w:rsid w:val="00E53F81"/>
    <w:rsid w:val="00E56E86"/>
    <w:rsid w:val="00E57BEC"/>
    <w:rsid w:val="00E6104A"/>
    <w:rsid w:val="00E643D6"/>
    <w:rsid w:val="00E656F5"/>
    <w:rsid w:val="00EA2543"/>
    <w:rsid w:val="00EB0C5A"/>
    <w:rsid w:val="00EB6591"/>
    <w:rsid w:val="00EC03DB"/>
    <w:rsid w:val="00EC0D6A"/>
    <w:rsid w:val="00EC22A6"/>
    <w:rsid w:val="00EC2EE9"/>
    <w:rsid w:val="00EC6327"/>
    <w:rsid w:val="00EE0B94"/>
    <w:rsid w:val="00EE568E"/>
    <w:rsid w:val="00EE7310"/>
    <w:rsid w:val="00EF03F0"/>
    <w:rsid w:val="00EF1A57"/>
    <w:rsid w:val="00EF44DB"/>
    <w:rsid w:val="00F01505"/>
    <w:rsid w:val="00F02A19"/>
    <w:rsid w:val="00F05E4F"/>
    <w:rsid w:val="00F155BA"/>
    <w:rsid w:val="00F25EAD"/>
    <w:rsid w:val="00F31E1F"/>
    <w:rsid w:val="00F3206E"/>
    <w:rsid w:val="00F37AC1"/>
    <w:rsid w:val="00F44DEE"/>
    <w:rsid w:val="00F6489E"/>
    <w:rsid w:val="00F713BC"/>
    <w:rsid w:val="00F75BF8"/>
    <w:rsid w:val="00F8754D"/>
    <w:rsid w:val="00F95FF1"/>
    <w:rsid w:val="00FA3EFE"/>
    <w:rsid w:val="00FA43C8"/>
    <w:rsid w:val="00FC5505"/>
    <w:rsid w:val="00FC65E8"/>
    <w:rsid w:val="00FD22F3"/>
    <w:rsid w:val="00FF243F"/>
    <w:rsid w:val="00FF61EF"/>
    <w:rsid w:val="00FF625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511D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404DA"/>
    <w:pPr>
      <w:spacing w:before="120" w:after="60" w:line="257" w:lineRule="auto"/>
      <w:jc w:val="both"/>
    </w:pPr>
    <w:rPr>
      <w:rFonts w:eastAsiaTheme="minorEastAsia" w:cs="Arial"/>
      <w:sz w:val="22"/>
      <w:szCs w:val="24"/>
      <w:lang w:val="en-GB" w:eastAsia="zh-CN"/>
    </w:rPr>
  </w:style>
  <w:style w:type="paragraph" w:styleId="Heading1">
    <w:name w:val="heading 1"/>
    <w:basedOn w:val="Normal"/>
    <w:next w:val="Normalunderheading"/>
    <w:qFormat/>
    <w:rsid w:val="001404DA"/>
    <w:pPr>
      <w:keepNext/>
      <w:numPr>
        <w:numId w:val="3"/>
      </w:numPr>
      <w:spacing w:before="320" w:after="0"/>
      <w:outlineLvl w:val="0"/>
    </w:pPr>
    <w:rPr>
      <w:rFonts w:ascii="Arial" w:hAnsi="Arial"/>
      <w:b/>
      <w:bCs/>
      <w:sz w:val="24"/>
    </w:rPr>
  </w:style>
  <w:style w:type="paragraph" w:styleId="Heading2">
    <w:name w:val="heading 2"/>
    <w:basedOn w:val="Normal"/>
    <w:next w:val="Normalunderheading"/>
    <w:qFormat/>
    <w:rsid w:val="001404DA"/>
    <w:pPr>
      <w:keepNext/>
      <w:numPr>
        <w:ilvl w:val="1"/>
        <w:numId w:val="3"/>
      </w:numPr>
      <w:spacing w:before="240" w:after="0"/>
      <w:ind w:left="426" w:hanging="426"/>
      <w:outlineLvl w:val="1"/>
    </w:pPr>
    <w:rPr>
      <w:rFonts w:ascii="Arial" w:hAnsi="Arial"/>
      <w:b/>
      <w:bCs/>
      <w:sz w:val="21"/>
      <w:szCs w:val="20"/>
    </w:rPr>
  </w:style>
  <w:style w:type="paragraph" w:styleId="Heading3">
    <w:name w:val="heading 3"/>
    <w:basedOn w:val="Normal"/>
    <w:next w:val="Normalunderheading"/>
    <w:qFormat/>
    <w:rsid w:val="001404DA"/>
    <w:pPr>
      <w:keepNext/>
      <w:numPr>
        <w:ilvl w:val="2"/>
        <w:numId w:val="3"/>
      </w:numPr>
      <w:spacing w:before="240" w:after="0"/>
      <w:outlineLvl w:val="2"/>
    </w:pPr>
    <w:rPr>
      <w:rFonts w:ascii="Arial" w:hAnsi="Arial"/>
      <w:bCs/>
      <w:i/>
      <w:sz w:val="20"/>
      <w:szCs w:val="26"/>
    </w:rPr>
  </w:style>
  <w:style w:type="paragraph" w:styleId="Heading4">
    <w:name w:val="heading 4"/>
    <w:basedOn w:val="Normal"/>
    <w:next w:val="Normal"/>
    <w:link w:val="Heading4Char"/>
    <w:semiHidden/>
    <w:unhideWhenUsed/>
    <w:qFormat/>
    <w:rsid w:val="001404DA"/>
    <w:pPr>
      <w:keepNext/>
      <w:keepLines/>
      <w:numPr>
        <w:ilvl w:val="3"/>
        <w:numId w:val="3"/>
      </w:numPr>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semiHidden/>
    <w:unhideWhenUsed/>
    <w:qFormat/>
    <w:rsid w:val="001404DA"/>
    <w:pPr>
      <w:keepNext/>
      <w:keepLines/>
      <w:numPr>
        <w:ilvl w:val="4"/>
        <w:numId w:val="3"/>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rsid w:val="001404DA"/>
    <w:pPr>
      <w:keepNext/>
      <w:keepLines/>
      <w:numPr>
        <w:ilvl w:val="5"/>
        <w:numId w:val="3"/>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1404DA"/>
    <w:pPr>
      <w:keepNext/>
      <w:keepLines/>
      <w:numPr>
        <w:ilvl w:val="6"/>
        <w:numId w:val="3"/>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1404DA"/>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1404DA"/>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404DA"/>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
    <w:name w:val="Table heading"/>
    <w:basedOn w:val="Normal"/>
    <w:rsid w:val="00E56E86"/>
    <w:pPr>
      <w:spacing w:before="240"/>
    </w:pPr>
  </w:style>
  <w:style w:type="character" w:styleId="Hyperlink">
    <w:name w:val="Hyperlink"/>
    <w:rsid w:val="001404DA"/>
    <w:rPr>
      <w:color w:val="0000FF"/>
      <w:u w:val="single"/>
    </w:rPr>
  </w:style>
  <w:style w:type="paragraph" w:styleId="Header">
    <w:name w:val="header"/>
    <w:basedOn w:val="Normal"/>
    <w:rsid w:val="001404DA"/>
    <w:pPr>
      <w:tabs>
        <w:tab w:val="center" w:pos="4253"/>
        <w:tab w:val="right" w:pos="8505"/>
      </w:tabs>
      <w:spacing w:before="0"/>
    </w:pPr>
    <w:rPr>
      <w:sz w:val="18"/>
    </w:rPr>
  </w:style>
  <w:style w:type="paragraph" w:styleId="Footer">
    <w:name w:val="footer"/>
    <w:basedOn w:val="Normal"/>
    <w:rsid w:val="001404DA"/>
    <w:pPr>
      <w:tabs>
        <w:tab w:val="center" w:pos="4253"/>
        <w:tab w:val="right" w:pos="8505"/>
      </w:tabs>
      <w:spacing w:before="0"/>
    </w:pPr>
    <w:rPr>
      <w:sz w:val="18"/>
    </w:rPr>
  </w:style>
  <w:style w:type="character" w:styleId="PageNumber">
    <w:name w:val="page number"/>
    <w:basedOn w:val="DefaultParagraphFont"/>
    <w:rsid w:val="001404DA"/>
  </w:style>
  <w:style w:type="paragraph" w:customStyle="1" w:styleId="References">
    <w:name w:val="References"/>
    <w:basedOn w:val="Normal"/>
    <w:rsid w:val="001404DA"/>
    <w:pPr>
      <w:autoSpaceDE w:val="0"/>
      <w:autoSpaceDN w:val="0"/>
      <w:adjustRightInd w:val="0"/>
      <w:spacing w:before="80" w:after="0"/>
      <w:ind w:left="709" w:hanging="709"/>
      <w:jc w:val="left"/>
    </w:pPr>
    <w:rPr>
      <w:rFonts w:cs="Century Schoolbook"/>
      <w:color w:val="000000"/>
      <w:szCs w:val="22"/>
      <w:lang w:eastAsia="en-AU"/>
    </w:rPr>
  </w:style>
  <w:style w:type="paragraph" w:styleId="FootnoteText">
    <w:name w:val="footnote text"/>
    <w:basedOn w:val="Normal"/>
    <w:link w:val="FootnoteTextChar"/>
    <w:uiPriority w:val="99"/>
    <w:semiHidden/>
    <w:rsid w:val="001404DA"/>
    <w:rPr>
      <w:sz w:val="20"/>
      <w:szCs w:val="20"/>
    </w:rPr>
  </w:style>
  <w:style w:type="character" w:styleId="FootnoteReference">
    <w:name w:val="footnote reference"/>
    <w:uiPriority w:val="99"/>
    <w:semiHidden/>
    <w:rsid w:val="001404DA"/>
    <w:rPr>
      <w:vertAlign w:val="superscript"/>
    </w:rPr>
  </w:style>
  <w:style w:type="paragraph" w:styleId="EndnoteText">
    <w:name w:val="endnote text"/>
    <w:basedOn w:val="Normal"/>
    <w:semiHidden/>
    <w:rsid w:val="001404DA"/>
    <w:rPr>
      <w:sz w:val="20"/>
      <w:szCs w:val="20"/>
    </w:rPr>
  </w:style>
  <w:style w:type="character" w:styleId="EndnoteReference">
    <w:name w:val="endnote reference"/>
    <w:semiHidden/>
    <w:rsid w:val="001404DA"/>
    <w:rPr>
      <w:vertAlign w:val="superscript"/>
    </w:rPr>
  </w:style>
  <w:style w:type="paragraph" w:customStyle="1" w:styleId="blockquotation">
    <w:name w:val="block quotation"/>
    <w:basedOn w:val="Normal"/>
    <w:next w:val="Normal"/>
    <w:rsid w:val="001404DA"/>
    <w:pPr>
      <w:spacing w:before="0"/>
      <w:ind w:left="851" w:right="851"/>
    </w:pPr>
  </w:style>
  <w:style w:type="paragraph" w:customStyle="1" w:styleId="Title1">
    <w:name w:val="Title1"/>
    <w:basedOn w:val="Normal"/>
    <w:next w:val="authorname"/>
    <w:rsid w:val="001404DA"/>
    <w:pPr>
      <w:spacing w:before="840" w:after="240"/>
      <w:jc w:val="left"/>
    </w:pPr>
    <w:rPr>
      <w:rFonts w:ascii="Arial" w:hAnsi="Arial"/>
      <w:b/>
      <w:sz w:val="36"/>
    </w:rPr>
  </w:style>
  <w:style w:type="paragraph" w:customStyle="1" w:styleId="authorname">
    <w:name w:val="author name"/>
    <w:basedOn w:val="Normal"/>
    <w:next w:val="authoraddress"/>
    <w:rsid w:val="001404DA"/>
    <w:pPr>
      <w:spacing w:after="0"/>
    </w:pPr>
    <w:rPr>
      <w:rFonts w:ascii="Arial" w:hAnsi="Arial"/>
      <w:b/>
    </w:rPr>
  </w:style>
  <w:style w:type="paragraph" w:customStyle="1" w:styleId="authoraddress">
    <w:name w:val="author address"/>
    <w:basedOn w:val="Normal"/>
    <w:next w:val="authoremail"/>
    <w:autoRedefine/>
    <w:rsid w:val="001404DA"/>
    <w:pPr>
      <w:spacing w:before="60" w:after="0"/>
    </w:pPr>
    <w:rPr>
      <w:i/>
      <w:sz w:val="20"/>
    </w:rPr>
  </w:style>
  <w:style w:type="paragraph" w:customStyle="1" w:styleId="authoremail">
    <w:name w:val="author email"/>
    <w:basedOn w:val="Normal"/>
    <w:next w:val="publicationdate"/>
    <w:rsid w:val="001404DA"/>
    <w:pPr>
      <w:spacing w:before="60" w:after="0"/>
    </w:pPr>
    <w:rPr>
      <w:sz w:val="20"/>
    </w:rPr>
  </w:style>
  <w:style w:type="paragraph" w:customStyle="1" w:styleId="publicationdate">
    <w:name w:val="publication date"/>
    <w:basedOn w:val="Normal"/>
    <w:next w:val="abstract"/>
    <w:rsid w:val="001404DA"/>
    <w:pPr>
      <w:spacing w:after="0"/>
    </w:pPr>
    <w:rPr>
      <w:sz w:val="20"/>
      <w:szCs w:val="22"/>
    </w:rPr>
  </w:style>
  <w:style w:type="paragraph" w:customStyle="1" w:styleId="abstract">
    <w:name w:val="abstract"/>
    <w:basedOn w:val="Normal"/>
    <w:next w:val="keywords"/>
    <w:rsid w:val="001404DA"/>
    <w:pPr>
      <w:tabs>
        <w:tab w:val="right" w:pos="-4680"/>
      </w:tabs>
      <w:spacing w:before="240"/>
      <w:ind w:left="851" w:right="851"/>
    </w:pPr>
  </w:style>
  <w:style w:type="paragraph" w:customStyle="1" w:styleId="keywords">
    <w:name w:val="key words"/>
    <w:basedOn w:val="Normal"/>
    <w:next w:val="Heading1"/>
    <w:rsid w:val="001404DA"/>
    <w:pPr>
      <w:ind w:left="851" w:right="851"/>
    </w:pPr>
  </w:style>
  <w:style w:type="paragraph" w:customStyle="1" w:styleId="Tabletitle">
    <w:name w:val="Table title"/>
    <w:basedOn w:val="Normal"/>
    <w:next w:val="table"/>
    <w:rsid w:val="001404DA"/>
    <w:pPr>
      <w:spacing w:before="240"/>
    </w:pPr>
  </w:style>
  <w:style w:type="paragraph" w:customStyle="1" w:styleId="Tablefootnotes">
    <w:name w:val="Table footnotes"/>
    <w:basedOn w:val="Normal"/>
    <w:next w:val="Normal"/>
    <w:rsid w:val="001404DA"/>
    <w:pPr>
      <w:spacing w:before="60" w:after="0"/>
    </w:pPr>
    <w:rPr>
      <w:sz w:val="20"/>
      <w:szCs w:val="22"/>
    </w:rPr>
  </w:style>
  <w:style w:type="paragraph" w:customStyle="1" w:styleId="Tableleftcolumn">
    <w:name w:val="Table left column"/>
    <w:basedOn w:val="Normal"/>
    <w:rsid w:val="001404DA"/>
    <w:pPr>
      <w:spacing w:before="60"/>
      <w:jc w:val="left"/>
    </w:pPr>
  </w:style>
  <w:style w:type="paragraph" w:customStyle="1" w:styleId="Tablecolumn">
    <w:name w:val="Table column"/>
    <w:basedOn w:val="Normal"/>
    <w:rsid w:val="001404DA"/>
    <w:pPr>
      <w:spacing w:before="60"/>
      <w:jc w:val="center"/>
    </w:pPr>
  </w:style>
  <w:style w:type="paragraph" w:customStyle="1" w:styleId="authornameotherinstitution">
    <w:name w:val="author name other institution"/>
    <w:basedOn w:val="authorname"/>
    <w:next w:val="authoraddress"/>
    <w:rsid w:val="001404DA"/>
    <w:pPr>
      <w:spacing w:before="360"/>
    </w:pPr>
  </w:style>
  <w:style w:type="paragraph" w:customStyle="1" w:styleId="bulletedlist">
    <w:name w:val="bulleted list"/>
    <w:basedOn w:val="Normal"/>
    <w:autoRedefine/>
    <w:rsid w:val="001404DA"/>
    <w:pPr>
      <w:numPr>
        <w:numId w:val="1"/>
      </w:numPr>
      <w:tabs>
        <w:tab w:val="clear" w:pos="644"/>
      </w:tabs>
      <w:spacing w:before="0"/>
    </w:pPr>
  </w:style>
  <w:style w:type="paragraph" w:customStyle="1" w:styleId="logo">
    <w:name w:val="logo"/>
    <w:basedOn w:val="Normal"/>
    <w:rsid w:val="001404DA"/>
    <w:pPr>
      <w:spacing w:before="0" w:after="0"/>
      <w:jc w:val="left"/>
    </w:pPr>
    <w:rPr>
      <w:rFonts w:ascii="Verdana" w:hAnsi="Verdana"/>
      <w:sz w:val="11"/>
    </w:rPr>
  </w:style>
  <w:style w:type="paragraph" w:styleId="ListBullet">
    <w:name w:val="List Bullet"/>
    <w:basedOn w:val="Normal"/>
    <w:rsid w:val="008F59FD"/>
    <w:pPr>
      <w:tabs>
        <w:tab w:val="num" w:pos="360"/>
      </w:tabs>
      <w:ind w:left="360" w:hanging="360"/>
    </w:pPr>
  </w:style>
  <w:style w:type="paragraph" w:customStyle="1" w:styleId="numberedlist">
    <w:name w:val="numbered list"/>
    <w:basedOn w:val="Normal"/>
    <w:autoRedefine/>
    <w:rsid w:val="001404DA"/>
    <w:pPr>
      <w:numPr>
        <w:numId w:val="2"/>
      </w:numPr>
      <w:tabs>
        <w:tab w:val="clear" w:pos="644"/>
      </w:tabs>
      <w:spacing w:before="0"/>
    </w:pPr>
  </w:style>
  <w:style w:type="paragraph" w:customStyle="1" w:styleId="table">
    <w:name w:val="table"/>
    <w:basedOn w:val="Normal"/>
    <w:next w:val="Normal"/>
    <w:rsid w:val="001404DA"/>
    <w:pPr>
      <w:spacing w:before="0"/>
    </w:pPr>
  </w:style>
  <w:style w:type="paragraph" w:customStyle="1" w:styleId="figurecaption">
    <w:name w:val="figure caption"/>
    <w:basedOn w:val="Normal"/>
    <w:next w:val="Normal"/>
    <w:rsid w:val="001404DA"/>
    <w:pPr>
      <w:spacing w:before="0" w:after="360"/>
      <w:ind w:left="1418" w:right="1418"/>
    </w:pPr>
  </w:style>
  <w:style w:type="paragraph" w:customStyle="1" w:styleId="EditorialTitle">
    <w:name w:val="Editorial Title"/>
    <w:basedOn w:val="Heading1"/>
    <w:next w:val="EditorialSub-Title"/>
    <w:rsid w:val="001404DA"/>
    <w:pPr>
      <w:spacing w:before="480"/>
    </w:pPr>
    <w:rPr>
      <w:sz w:val="32"/>
    </w:rPr>
  </w:style>
  <w:style w:type="paragraph" w:customStyle="1" w:styleId="EditorialSub-Title">
    <w:name w:val="Editorial Sub-Title"/>
    <w:basedOn w:val="Normal"/>
    <w:next w:val="Normal"/>
    <w:rsid w:val="001404DA"/>
    <w:pPr>
      <w:spacing w:before="0" w:after="240"/>
    </w:pPr>
    <w:rPr>
      <w:rFonts w:ascii="Arial" w:hAnsi="Arial"/>
      <w:sz w:val="24"/>
    </w:rPr>
  </w:style>
  <w:style w:type="character" w:styleId="FollowedHyperlink">
    <w:name w:val="FollowedHyperlink"/>
    <w:basedOn w:val="DefaultParagraphFont"/>
    <w:rsid w:val="006320C6"/>
    <w:rPr>
      <w:color w:val="606420"/>
      <w:u w:val="single"/>
    </w:rPr>
  </w:style>
  <w:style w:type="paragraph" w:styleId="NormalWeb">
    <w:name w:val="Normal (Web)"/>
    <w:basedOn w:val="Normal"/>
    <w:rsid w:val="00393FE5"/>
    <w:pPr>
      <w:spacing w:before="100" w:beforeAutospacing="1" w:after="100" w:afterAutospacing="1"/>
      <w:jc w:val="left"/>
    </w:pPr>
    <w:rPr>
      <w:sz w:val="24"/>
      <w:lang w:val="en-US"/>
    </w:rPr>
  </w:style>
  <w:style w:type="character" w:styleId="Emphasis">
    <w:name w:val="Emphasis"/>
    <w:basedOn w:val="DefaultParagraphFont"/>
    <w:qFormat/>
    <w:rsid w:val="00393FE5"/>
    <w:rPr>
      <w:i/>
      <w:iCs/>
    </w:rPr>
  </w:style>
  <w:style w:type="paragraph" w:customStyle="1" w:styleId="Heading2UnderHeading1">
    <w:name w:val="Heading 2 Under Heading 1"/>
    <w:basedOn w:val="Heading2"/>
    <w:next w:val="Normalunderheading"/>
    <w:rsid w:val="001404DA"/>
    <w:pPr>
      <w:spacing w:before="60"/>
    </w:pPr>
  </w:style>
  <w:style w:type="paragraph" w:customStyle="1" w:styleId="Heading3underHeading2">
    <w:name w:val="Heading 3 under Heading 2"/>
    <w:basedOn w:val="Heading3"/>
    <w:next w:val="Normalunderheading"/>
    <w:rsid w:val="001404DA"/>
    <w:pPr>
      <w:spacing w:before="60"/>
      <w:ind w:left="567" w:hanging="567"/>
    </w:pPr>
  </w:style>
  <w:style w:type="paragraph" w:customStyle="1" w:styleId="Normalundertableorfigure">
    <w:name w:val="Normal under table or figure"/>
    <w:basedOn w:val="Normal"/>
    <w:next w:val="Normal"/>
    <w:rsid w:val="001404DA"/>
    <w:pPr>
      <w:spacing w:before="360"/>
    </w:pPr>
  </w:style>
  <w:style w:type="paragraph" w:customStyle="1" w:styleId="Title2">
    <w:name w:val="Title2"/>
    <w:basedOn w:val="Normal"/>
    <w:next w:val="authorname"/>
    <w:rsid w:val="00EF03F0"/>
    <w:pPr>
      <w:spacing w:before="840" w:after="240"/>
      <w:jc w:val="left"/>
    </w:pPr>
    <w:rPr>
      <w:rFonts w:ascii="Arial" w:hAnsi="Arial"/>
      <w:b/>
      <w:sz w:val="36"/>
    </w:rPr>
  </w:style>
  <w:style w:type="paragraph" w:styleId="BalloonText">
    <w:name w:val="Balloon Text"/>
    <w:basedOn w:val="Normal"/>
    <w:link w:val="BalloonTextChar"/>
    <w:rsid w:val="001404DA"/>
    <w:pPr>
      <w:spacing w:before="0" w:after="0"/>
    </w:pPr>
    <w:rPr>
      <w:rFonts w:ascii="Tahoma" w:hAnsi="Tahoma" w:cs="Tahoma"/>
      <w:sz w:val="16"/>
      <w:szCs w:val="16"/>
    </w:rPr>
  </w:style>
  <w:style w:type="character" w:customStyle="1" w:styleId="BalloonTextChar">
    <w:name w:val="Balloon Text Char"/>
    <w:basedOn w:val="DefaultParagraphFont"/>
    <w:link w:val="BalloonText"/>
    <w:rsid w:val="001404DA"/>
    <w:rPr>
      <w:rFonts w:ascii="Tahoma" w:eastAsiaTheme="minorEastAsia" w:hAnsi="Tahoma" w:cs="Tahoma"/>
      <w:sz w:val="16"/>
      <w:szCs w:val="16"/>
      <w:lang w:val="en-GB" w:eastAsia="zh-CN"/>
    </w:rPr>
  </w:style>
  <w:style w:type="paragraph" w:customStyle="1" w:styleId="Title3">
    <w:name w:val="Title3"/>
    <w:basedOn w:val="Normal"/>
    <w:next w:val="authorname"/>
    <w:rsid w:val="005C4549"/>
    <w:pPr>
      <w:spacing w:before="840" w:after="240"/>
      <w:jc w:val="left"/>
    </w:pPr>
    <w:rPr>
      <w:rFonts w:ascii="Arial" w:hAnsi="Arial"/>
      <w:b/>
      <w:sz w:val="36"/>
    </w:rPr>
  </w:style>
  <w:style w:type="paragraph" w:customStyle="1" w:styleId="JournalName">
    <w:name w:val="Journal Name"/>
    <w:basedOn w:val="Header"/>
    <w:rsid w:val="001404DA"/>
    <w:pPr>
      <w:spacing w:after="0"/>
    </w:pPr>
    <w:rPr>
      <w:rFonts w:ascii="Century Schoolbook" w:hAnsi="Century Schoolbook"/>
      <w:i/>
      <w:noProof/>
      <w:sz w:val="28"/>
      <w:lang w:val="en-US"/>
    </w:rPr>
  </w:style>
  <w:style w:type="character" w:customStyle="1" w:styleId="Heading4Char">
    <w:name w:val="Heading 4 Char"/>
    <w:basedOn w:val="DefaultParagraphFont"/>
    <w:link w:val="Heading4"/>
    <w:semiHidden/>
    <w:rsid w:val="001404DA"/>
    <w:rPr>
      <w:rFonts w:asciiTheme="majorHAnsi" w:eastAsiaTheme="majorEastAsia" w:hAnsiTheme="majorHAnsi" w:cstheme="majorBidi"/>
      <w:i/>
      <w:iCs/>
      <w:color w:val="365F91" w:themeColor="accent1" w:themeShade="BF"/>
      <w:sz w:val="22"/>
      <w:szCs w:val="24"/>
      <w:lang w:val="en-GB" w:eastAsia="zh-CN"/>
    </w:rPr>
  </w:style>
  <w:style w:type="character" w:customStyle="1" w:styleId="Heading5Char">
    <w:name w:val="Heading 5 Char"/>
    <w:basedOn w:val="DefaultParagraphFont"/>
    <w:link w:val="Heading5"/>
    <w:semiHidden/>
    <w:rsid w:val="001404DA"/>
    <w:rPr>
      <w:rFonts w:asciiTheme="majorHAnsi" w:eastAsiaTheme="majorEastAsia" w:hAnsiTheme="majorHAnsi" w:cstheme="majorBidi"/>
      <w:color w:val="365F91" w:themeColor="accent1" w:themeShade="BF"/>
      <w:sz w:val="22"/>
      <w:szCs w:val="24"/>
      <w:lang w:val="en-GB" w:eastAsia="zh-CN"/>
    </w:rPr>
  </w:style>
  <w:style w:type="character" w:customStyle="1" w:styleId="Heading6Char">
    <w:name w:val="Heading 6 Char"/>
    <w:basedOn w:val="DefaultParagraphFont"/>
    <w:link w:val="Heading6"/>
    <w:semiHidden/>
    <w:rsid w:val="001404DA"/>
    <w:rPr>
      <w:rFonts w:asciiTheme="majorHAnsi" w:eastAsiaTheme="majorEastAsia" w:hAnsiTheme="majorHAnsi" w:cstheme="majorBidi"/>
      <w:color w:val="243F60" w:themeColor="accent1" w:themeShade="7F"/>
      <w:sz w:val="22"/>
      <w:szCs w:val="24"/>
      <w:lang w:val="en-GB" w:eastAsia="zh-CN"/>
    </w:rPr>
  </w:style>
  <w:style w:type="character" w:customStyle="1" w:styleId="Heading7Char">
    <w:name w:val="Heading 7 Char"/>
    <w:basedOn w:val="DefaultParagraphFont"/>
    <w:link w:val="Heading7"/>
    <w:semiHidden/>
    <w:rsid w:val="001404DA"/>
    <w:rPr>
      <w:rFonts w:asciiTheme="majorHAnsi" w:eastAsiaTheme="majorEastAsia" w:hAnsiTheme="majorHAnsi" w:cstheme="majorBidi"/>
      <w:i/>
      <w:iCs/>
      <w:color w:val="243F60" w:themeColor="accent1" w:themeShade="7F"/>
      <w:sz w:val="22"/>
      <w:szCs w:val="24"/>
      <w:lang w:val="en-GB" w:eastAsia="zh-CN"/>
    </w:rPr>
  </w:style>
  <w:style w:type="character" w:customStyle="1" w:styleId="Heading8Char">
    <w:name w:val="Heading 8 Char"/>
    <w:basedOn w:val="DefaultParagraphFont"/>
    <w:link w:val="Heading8"/>
    <w:semiHidden/>
    <w:rsid w:val="001404DA"/>
    <w:rPr>
      <w:rFonts w:asciiTheme="majorHAnsi" w:eastAsiaTheme="majorEastAsia" w:hAnsiTheme="majorHAnsi" w:cstheme="majorBidi"/>
      <w:color w:val="272727" w:themeColor="text1" w:themeTint="D8"/>
      <w:sz w:val="21"/>
      <w:szCs w:val="21"/>
      <w:lang w:val="en-GB" w:eastAsia="zh-CN"/>
    </w:rPr>
  </w:style>
  <w:style w:type="character" w:customStyle="1" w:styleId="Heading9Char">
    <w:name w:val="Heading 9 Char"/>
    <w:basedOn w:val="DefaultParagraphFont"/>
    <w:link w:val="Heading9"/>
    <w:semiHidden/>
    <w:rsid w:val="001404DA"/>
    <w:rPr>
      <w:rFonts w:asciiTheme="majorHAnsi" w:eastAsiaTheme="majorEastAsia" w:hAnsiTheme="majorHAnsi" w:cstheme="majorBidi"/>
      <w:i/>
      <w:iCs/>
      <w:color w:val="272727" w:themeColor="text1" w:themeTint="D8"/>
      <w:sz w:val="21"/>
      <w:szCs w:val="21"/>
      <w:lang w:val="en-GB" w:eastAsia="zh-CN"/>
    </w:rPr>
  </w:style>
  <w:style w:type="paragraph" w:customStyle="1" w:styleId="Normalunderheading">
    <w:name w:val="Normal under heading"/>
    <w:basedOn w:val="Normal"/>
    <w:next w:val="Normal"/>
    <w:qFormat/>
    <w:rsid w:val="001404DA"/>
    <w:pPr>
      <w:spacing w:before="60"/>
    </w:pPr>
  </w:style>
  <w:style w:type="character" w:styleId="UnresolvedMention">
    <w:name w:val="Unresolved Mention"/>
    <w:basedOn w:val="DefaultParagraphFont"/>
    <w:uiPriority w:val="99"/>
    <w:semiHidden/>
    <w:unhideWhenUsed/>
    <w:rsid w:val="001404DA"/>
    <w:rPr>
      <w:color w:val="605E5C"/>
      <w:shd w:val="clear" w:color="auto" w:fill="E1DFDD"/>
    </w:rPr>
  </w:style>
  <w:style w:type="character" w:customStyle="1" w:styleId="FootnoteTextChar">
    <w:name w:val="Footnote Text Char"/>
    <w:basedOn w:val="DefaultParagraphFont"/>
    <w:link w:val="FootnoteText"/>
    <w:uiPriority w:val="99"/>
    <w:semiHidden/>
    <w:rsid w:val="006C08A2"/>
    <w:rPr>
      <w:rFonts w:eastAsiaTheme="minorEastAsia" w:cs="Arial"/>
      <w:lang w:val="en-GB" w:eastAsia="zh-CN"/>
    </w:rPr>
  </w:style>
  <w:style w:type="paragraph" w:customStyle="1" w:styleId="Default">
    <w:name w:val="Default"/>
    <w:rsid w:val="006C08A2"/>
    <w:pPr>
      <w:pBdr>
        <w:top w:val="nil"/>
        <w:left w:val="nil"/>
        <w:bottom w:val="nil"/>
        <w:right w:val="nil"/>
        <w:between w:val="nil"/>
        <w:bar w:val="nil"/>
      </w:pBdr>
      <w:spacing w:before="160"/>
    </w:pPr>
    <w:rPr>
      <w:rFonts w:ascii="Helvetica Neue" w:eastAsia="Arial Unicode MS" w:hAnsi="Helvetica Neue" w:cs="Arial Unicode MS"/>
      <w:color w:val="000000"/>
      <w:sz w:val="24"/>
      <w:szCs w:val="24"/>
      <w:bdr w:val="nil"/>
      <w:lang w:val="en-US" w:eastAsia="en-GB"/>
    </w:rPr>
  </w:style>
  <w:style w:type="character" w:customStyle="1" w:styleId="label">
    <w:name w:val="label"/>
    <w:basedOn w:val="DefaultParagraphFont"/>
    <w:rsid w:val="004F4724"/>
  </w:style>
  <w:style w:type="character" w:customStyle="1" w:styleId="anchor-text">
    <w:name w:val="anchor-text"/>
    <w:basedOn w:val="DefaultParagraphFont"/>
    <w:rsid w:val="004F4724"/>
  </w:style>
  <w:style w:type="character" w:styleId="CommentReference">
    <w:name w:val="annotation reference"/>
    <w:basedOn w:val="DefaultParagraphFont"/>
    <w:semiHidden/>
    <w:unhideWhenUsed/>
    <w:rsid w:val="00B84AAD"/>
    <w:rPr>
      <w:sz w:val="16"/>
      <w:szCs w:val="16"/>
    </w:rPr>
  </w:style>
  <w:style w:type="paragraph" w:styleId="CommentText">
    <w:name w:val="annotation text"/>
    <w:basedOn w:val="Normal"/>
    <w:link w:val="CommentTextChar"/>
    <w:unhideWhenUsed/>
    <w:rsid w:val="00B84AAD"/>
    <w:pPr>
      <w:spacing w:line="240" w:lineRule="auto"/>
    </w:pPr>
    <w:rPr>
      <w:sz w:val="20"/>
      <w:szCs w:val="20"/>
    </w:rPr>
  </w:style>
  <w:style w:type="character" w:customStyle="1" w:styleId="CommentTextChar">
    <w:name w:val="Comment Text Char"/>
    <w:basedOn w:val="DefaultParagraphFont"/>
    <w:link w:val="CommentText"/>
    <w:rsid w:val="00B84AAD"/>
    <w:rPr>
      <w:rFonts w:eastAsiaTheme="minorEastAsia" w:cs="Arial"/>
      <w:lang w:val="en-GB" w:eastAsia="zh-CN"/>
    </w:rPr>
  </w:style>
  <w:style w:type="paragraph" w:styleId="CommentSubject">
    <w:name w:val="annotation subject"/>
    <w:basedOn w:val="CommentText"/>
    <w:next w:val="CommentText"/>
    <w:link w:val="CommentSubjectChar"/>
    <w:semiHidden/>
    <w:unhideWhenUsed/>
    <w:rsid w:val="00B84AAD"/>
    <w:rPr>
      <w:b/>
      <w:bCs/>
    </w:rPr>
  </w:style>
  <w:style w:type="character" w:customStyle="1" w:styleId="CommentSubjectChar">
    <w:name w:val="Comment Subject Char"/>
    <w:basedOn w:val="CommentTextChar"/>
    <w:link w:val="CommentSubject"/>
    <w:semiHidden/>
    <w:rsid w:val="00B84AAD"/>
    <w:rPr>
      <w:rFonts w:eastAsiaTheme="minorEastAsia" w:cs="Arial"/>
      <w:b/>
      <w:bCs/>
      <w:lang w:val="en-GB" w:eastAsia="zh-CN"/>
    </w:rPr>
  </w:style>
  <w:style w:type="character" w:customStyle="1" w:styleId="citationsource-journal">
    <w:name w:val="citation_source-journal"/>
    <w:basedOn w:val="DefaultParagraphFont"/>
    <w:rsid w:val="00284177"/>
  </w:style>
  <w:style w:type="character" w:customStyle="1" w:styleId="authorname0">
    <w:name w:val="authorname"/>
    <w:basedOn w:val="DefaultParagraphFont"/>
    <w:rsid w:val="001424B4"/>
  </w:style>
  <w:style w:type="character" w:customStyle="1" w:styleId="separator">
    <w:name w:val="separator"/>
    <w:basedOn w:val="DefaultParagraphFont"/>
    <w:rsid w:val="001424B4"/>
  </w:style>
  <w:style w:type="character" w:customStyle="1" w:styleId="Date1">
    <w:name w:val="Date1"/>
    <w:basedOn w:val="DefaultParagraphFont"/>
    <w:rsid w:val="001424B4"/>
  </w:style>
  <w:style w:type="character" w:customStyle="1" w:styleId="arttitle">
    <w:name w:val="art_title"/>
    <w:basedOn w:val="DefaultParagraphFont"/>
    <w:rsid w:val="001424B4"/>
  </w:style>
  <w:style w:type="character" w:customStyle="1" w:styleId="serialtitle">
    <w:name w:val="serial_title"/>
    <w:basedOn w:val="DefaultParagraphFont"/>
    <w:rsid w:val="001424B4"/>
  </w:style>
  <w:style w:type="character" w:customStyle="1" w:styleId="volumeissue">
    <w:name w:val="volume_issue"/>
    <w:basedOn w:val="DefaultParagraphFont"/>
    <w:rsid w:val="001424B4"/>
  </w:style>
  <w:style w:type="character" w:customStyle="1" w:styleId="pagerange">
    <w:name w:val="page_range"/>
    <w:basedOn w:val="DefaultParagraphFont"/>
    <w:rsid w:val="001424B4"/>
  </w:style>
  <w:style w:type="character" w:customStyle="1" w:styleId="doilink">
    <w:name w:val="doi_link"/>
    <w:basedOn w:val="DefaultParagraphFont"/>
    <w:rsid w:val="001424B4"/>
  </w:style>
  <w:style w:type="paragraph" w:customStyle="1" w:styleId="dx-doi">
    <w:name w:val="dx-doi"/>
    <w:basedOn w:val="Normal"/>
    <w:rsid w:val="001424B4"/>
    <w:pPr>
      <w:spacing w:before="100" w:beforeAutospacing="1" w:after="100" w:afterAutospacing="1" w:line="240" w:lineRule="auto"/>
      <w:jc w:val="left"/>
    </w:pPr>
    <w:rPr>
      <w:rFonts w:eastAsia="Times New Roman" w:cs="Times New Roman"/>
      <w:sz w:val="24"/>
      <w:lang w:eastAsia="en-GB"/>
    </w:rPr>
  </w:style>
  <w:style w:type="character" w:customStyle="1" w:styleId="text">
    <w:name w:val="text"/>
    <w:basedOn w:val="DefaultParagraphFont"/>
    <w:rsid w:val="00DA1F27"/>
  </w:style>
  <w:style w:type="paragraph" w:customStyle="1" w:styleId="nova-legacy-e-listitem">
    <w:name w:val="nova-legacy-e-list__item"/>
    <w:basedOn w:val="Normal"/>
    <w:rsid w:val="00F75BF8"/>
    <w:pPr>
      <w:spacing w:before="100" w:beforeAutospacing="1" w:after="100" w:afterAutospacing="1" w:line="240" w:lineRule="auto"/>
      <w:jc w:val="left"/>
    </w:pPr>
    <w:rPr>
      <w:rFonts w:eastAsia="Times New Roman" w:cs="Times New Roman"/>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291509">
      <w:bodyDiv w:val="1"/>
      <w:marLeft w:val="0"/>
      <w:marRight w:val="0"/>
      <w:marTop w:val="0"/>
      <w:marBottom w:val="0"/>
      <w:divBdr>
        <w:top w:val="none" w:sz="0" w:space="0" w:color="auto"/>
        <w:left w:val="none" w:sz="0" w:space="0" w:color="auto"/>
        <w:bottom w:val="none" w:sz="0" w:space="0" w:color="auto"/>
        <w:right w:val="none" w:sz="0" w:space="0" w:color="auto"/>
      </w:divBdr>
    </w:div>
    <w:div w:id="320351171">
      <w:bodyDiv w:val="1"/>
      <w:marLeft w:val="0"/>
      <w:marRight w:val="0"/>
      <w:marTop w:val="0"/>
      <w:marBottom w:val="0"/>
      <w:divBdr>
        <w:top w:val="none" w:sz="0" w:space="0" w:color="auto"/>
        <w:left w:val="none" w:sz="0" w:space="0" w:color="auto"/>
        <w:bottom w:val="none" w:sz="0" w:space="0" w:color="auto"/>
        <w:right w:val="none" w:sz="0" w:space="0" w:color="auto"/>
      </w:divBdr>
    </w:div>
    <w:div w:id="387608372">
      <w:bodyDiv w:val="1"/>
      <w:marLeft w:val="0"/>
      <w:marRight w:val="0"/>
      <w:marTop w:val="0"/>
      <w:marBottom w:val="0"/>
      <w:divBdr>
        <w:top w:val="none" w:sz="0" w:space="0" w:color="auto"/>
        <w:left w:val="none" w:sz="0" w:space="0" w:color="auto"/>
        <w:bottom w:val="none" w:sz="0" w:space="0" w:color="auto"/>
        <w:right w:val="none" w:sz="0" w:space="0" w:color="auto"/>
      </w:divBdr>
      <w:divsChild>
        <w:div w:id="46731005">
          <w:marLeft w:val="0"/>
          <w:marRight w:val="0"/>
          <w:marTop w:val="0"/>
          <w:marBottom w:val="120"/>
          <w:divBdr>
            <w:top w:val="none" w:sz="0" w:space="0" w:color="auto"/>
            <w:left w:val="none" w:sz="0" w:space="0" w:color="auto"/>
            <w:bottom w:val="none" w:sz="0" w:space="0" w:color="auto"/>
            <w:right w:val="none" w:sz="0" w:space="0" w:color="auto"/>
          </w:divBdr>
        </w:div>
      </w:divsChild>
    </w:div>
    <w:div w:id="539976060">
      <w:bodyDiv w:val="1"/>
      <w:marLeft w:val="0"/>
      <w:marRight w:val="0"/>
      <w:marTop w:val="0"/>
      <w:marBottom w:val="0"/>
      <w:divBdr>
        <w:top w:val="none" w:sz="0" w:space="0" w:color="auto"/>
        <w:left w:val="none" w:sz="0" w:space="0" w:color="auto"/>
        <w:bottom w:val="none" w:sz="0" w:space="0" w:color="auto"/>
        <w:right w:val="none" w:sz="0" w:space="0" w:color="auto"/>
      </w:divBdr>
    </w:div>
    <w:div w:id="811756696">
      <w:bodyDiv w:val="1"/>
      <w:marLeft w:val="0"/>
      <w:marRight w:val="0"/>
      <w:marTop w:val="0"/>
      <w:marBottom w:val="0"/>
      <w:divBdr>
        <w:top w:val="none" w:sz="0" w:space="0" w:color="auto"/>
        <w:left w:val="none" w:sz="0" w:space="0" w:color="auto"/>
        <w:bottom w:val="none" w:sz="0" w:space="0" w:color="auto"/>
        <w:right w:val="none" w:sz="0" w:space="0" w:color="auto"/>
      </w:divBdr>
    </w:div>
    <w:div w:id="1198811376">
      <w:bodyDiv w:val="1"/>
      <w:marLeft w:val="0"/>
      <w:marRight w:val="0"/>
      <w:marTop w:val="0"/>
      <w:marBottom w:val="0"/>
      <w:divBdr>
        <w:top w:val="none" w:sz="0" w:space="0" w:color="auto"/>
        <w:left w:val="none" w:sz="0" w:space="0" w:color="auto"/>
        <w:bottom w:val="none" w:sz="0" w:space="0" w:color="auto"/>
        <w:right w:val="none" w:sz="0" w:space="0" w:color="auto"/>
      </w:divBdr>
    </w:div>
    <w:div w:id="1200241740">
      <w:bodyDiv w:val="1"/>
      <w:marLeft w:val="0"/>
      <w:marRight w:val="0"/>
      <w:marTop w:val="0"/>
      <w:marBottom w:val="0"/>
      <w:divBdr>
        <w:top w:val="none" w:sz="0" w:space="0" w:color="auto"/>
        <w:left w:val="none" w:sz="0" w:space="0" w:color="auto"/>
        <w:bottom w:val="none" w:sz="0" w:space="0" w:color="auto"/>
        <w:right w:val="none" w:sz="0" w:space="0" w:color="auto"/>
      </w:divBdr>
    </w:div>
    <w:div w:id="1586304678">
      <w:bodyDiv w:val="1"/>
      <w:marLeft w:val="0"/>
      <w:marRight w:val="0"/>
      <w:marTop w:val="0"/>
      <w:marBottom w:val="0"/>
      <w:divBdr>
        <w:top w:val="none" w:sz="0" w:space="0" w:color="auto"/>
        <w:left w:val="none" w:sz="0" w:space="0" w:color="auto"/>
        <w:bottom w:val="none" w:sz="0" w:space="0" w:color="auto"/>
        <w:right w:val="none" w:sz="0" w:space="0" w:color="auto"/>
      </w:divBdr>
    </w:div>
    <w:div w:id="1590236237">
      <w:bodyDiv w:val="1"/>
      <w:marLeft w:val="0"/>
      <w:marRight w:val="0"/>
      <w:marTop w:val="0"/>
      <w:marBottom w:val="0"/>
      <w:divBdr>
        <w:top w:val="none" w:sz="0" w:space="0" w:color="auto"/>
        <w:left w:val="none" w:sz="0" w:space="0" w:color="auto"/>
        <w:bottom w:val="none" w:sz="0" w:space="0" w:color="auto"/>
        <w:right w:val="none" w:sz="0" w:space="0" w:color="auto"/>
      </w:divBdr>
    </w:div>
    <w:div w:id="1763254877">
      <w:bodyDiv w:val="1"/>
      <w:marLeft w:val="0"/>
      <w:marRight w:val="0"/>
      <w:marTop w:val="0"/>
      <w:marBottom w:val="0"/>
      <w:divBdr>
        <w:top w:val="none" w:sz="0" w:space="0" w:color="auto"/>
        <w:left w:val="none" w:sz="0" w:space="0" w:color="auto"/>
        <w:bottom w:val="none" w:sz="0" w:space="0" w:color="auto"/>
        <w:right w:val="none" w:sz="0" w:space="0" w:color="auto"/>
      </w:divBdr>
    </w:div>
    <w:div w:id="1782147662">
      <w:bodyDiv w:val="1"/>
      <w:marLeft w:val="0"/>
      <w:marRight w:val="0"/>
      <w:marTop w:val="0"/>
      <w:marBottom w:val="0"/>
      <w:divBdr>
        <w:top w:val="none" w:sz="0" w:space="0" w:color="auto"/>
        <w:left w:val="none" w:sz="0" w:space="0" w:color="auto"/>
        <w:bottom w:val="none" w:sz="0" w:space="0" w:color="auto"/>
        <w:right w:val="none" w:sz="0" w:space="0" w:color="auto"/>
      </w:divBdr>
    </w:div>
    <w:div w:id="1985969234">
      <w:bodyDiv w:val="1"/>
      <w:marLeft w:val="0"/>
      <w:marRight w:val="0"/>
      <w:marTop w:val="0"/>
      <w:marBottom w:val="0"/>
      <w:divBdr>
        <w:top w:val="none" w:sz="0" w:space="0" w:color="auto"/>
        <w:left w:val="none" w:sz="0" w:space="0" w:color="auto"/>
        <w:bottom w:val="none" w:sz="0" w:space="0" w:color="auto"/>
        <w:right w:val="none" w:sz="0" w:space="0" w:color="auto"/>
      </w:divBdr>
      <w:divsChild>
        <w:div w:id="334266213">
          <w:marLeft w:val="0"/>
          <w:marRight w:val="0"/>
          <w:marTop w:val="0"/>
          <w:marBottom w:val="120"/>
          <w:divBdr>
            <w:top w:val="none" w:sz="0" w:space="0" w:color="auto"/>
            <w:left w:val="none" w:sz="0" w:space="0" w:color="auto"/>
            <w:bottom w:val="none" w:sz="0" w:space="0" w:color="auto"/>
            <w:right w:val="none" w:sz="0" w:space="0" w:color="auto"/>
          </w:divBdr>
        </w:div>
      </w:divsChild>
    </w:div>
    <w:div w:id="2054034410">
      <w:bodyDiv w:val="1"/>
      <w:marLeft w:val="0"/>
      <w:marRight w:val="0"/>
      <w:marTop w:val="0"/>
      <w:marBottom w:val="0"/>
      <w:divBdr>
        <w:top w:val="none" w:sz="0" w:space="0" w:color="auto"/>
        <w:left w:val="none" w:sz="0" w:space="0" w:color="auto"/>
        <w:bottom w:val="none" w:sz="0" w:space="0" w:color="auto"/>
        <w:right w:val="none" w:sz="0" w:space="0" w:color="auto"/>
      </w:divBdr>
    </w:div>
    <w:div w:id="2146387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baleap.org/wp-content/uploads/2016/04/teap-competency-framework.pdf" TargetMode="External"/><Relationship Id="rId18" Type="http://schemas.openxmlformats.org/officeDocument/2006/relationships/hyperlink" Target="https://doi.org/10.1080/13562517.2016.1160220" TargetMode="External"/><Relationship Id="rId26" Type="http://schemas.openxmlformats.org/officeDocument/2006/relationships/hyperlink" Target="http://www.jstor.org/stable/41429090" TargetMode="External"/><Relationship Id="rId39" Type="http://schemas.openxmlformats.org/officeDocument/2006/relationships/hyperlink" Target="http://dx.doi.org/10.53761/1.13.3.2" TargetMode="External"/><Relationship Id="rId21" Type="http://schemas.openxmlformats.org/officeDocument/2006/relationships/hyperlink" Target="https://doi.org/10.1016/j.jeap.2015.05.008" TargetMode="External"/><Relationship Id="rId34" Type="http://schemas.openxmlformats.org/officeDocument/2006/relationships/hyperlink" Target="http://dx.doi.org/10.1007/s10734-013-9660-6." TargetMode="External"/><Relationship Id="rId42" Type="http://schemas.openxmlformats.org/officeDocument/2006/relationships/hyperlink" Target="https://doi.org/10.1080/03075079.2014.981150" TargetMode="External"/><Relationship Id="rId47" Type="http://schemas.openxmlformats.org/officeDocument/2006/relationships/hyperlink" Target="https://doi.org/10.3828/ijeap.2021.11" TargetMode="External"/><Relationship Id="rId50" Type="http://schemas.openxmlformats.org/officeDocument/2006/relationships/hyperlink" Target="https://doi.org/10.1080/03057640802701952" TargetMode="External"/><Relationship Id="rId55" Type="http://schemas.openxmlformats.org/officeDocument/2006/relationships/hyperlink" Target="https://doi.org/10.1016/j.jeap.2018.02.005" TargetMode="External"/><Relationship Id="rId63" Type="http://schemas.openxmlformats.org/officeDocument/2006/relationships/theme" Target="theme/theme1.xml"/><Relationship Id="rId7" Type="http://schemas.openxmlformats.org/officeDocument/2006/relationships/hyperlink" Target="mailto:l.mcgrath@shu.ac.uk" TargetMode="External"/><Relationship Id="rId2" Type="http://schemas.openxmlformats.org/officeDocument/2006/relationships/styles" Target="styles.xml"/><Relationship Id="rId16" Type="http://schemas.openxmlformats.org/officeDocument/2006/relationships/hyperlink" Target="https://doi.org/10.1080/03075079.2010.549221" TargetMode="External"/><Relationship Id="rId29" Type="http://schemas.openxmlformats.org/officeDocument/2006/relationships/hyperlink" Target="http://dx.doi.org/10.1080/13562517.2015.1026891" TargetMode="External"/><Relationship Id="rId11" Type="http://schemas.openxmlformats.org/officeDocument/2006/relationships/hyperlink" Target="https://link.springer.com/article/10.1007/s10734-019-00373-9" TargetMode="External"/><Relationship Id="rId24" Type="http://schemas.openxmlformats.org/officeDocument/2006/relationships/hyperlink" Target="https://doi.org/10.1080/13562511003619979" TargetMode="External"/><Relationship Id="rId32" Type="http://schemas.openxmlformats.org/officeDocument/2006/relationships/hyperlink" Target="https://s3.eu-west-2.amazonaws.com/assets.creode.advancehe-document-manager/documents/advance-he/UK%20Professional%20Standards%20Framework_1570613241.pdf" TargetMode="External"/><Relationship Id="rId37" Type="http://schemas.openxmlformats.org/officeDocument/2006/relationships/hyperlink" Target="http://dx.doi.org/10.1080/13562517.2022.2048369" TargetMode="External"/><Relationship Id="rId40" Type="http://schemas.openxmlformats.org/officeDocument/2006/relationships/hyperlink" Target="https://doi.org/10.1007/s10734-019-00373-9" TargetMode="External"/><Relationship Id="rId45" Type="http://schemas.openxmlformats.org/officeDocument/2006/relationships/hyperlink" Target="https://doi.org/10.17239/jowr-2019.11.01.01" TargetMode="External"/><Relationship Id="rId53" Type="http://schemas.openxmlformats.org/officeDocument/2006/relationships/hyperlink" Target="https://doi.org/10.1016/j.jeap.2011.11.006" TargetMode="External"/><Relationship Id="rId58"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footer" Target="footer3.xml"/><Relationship Id="rId19" Type="http://schemas.openxmlformats.org/officeDocument/2006/relationships/hyperlink" Target="http://dx.doi.org/10.53761/1.9.3.3" TargetMode="External"/><Relationship Id="rId14" Type="http://schemas.openxmlformats.org/officeDocument/2006/relationships/hyperlink" Target="https://doi.org/10.1080/03075079.2010.549221" TargetMode="External"/><Relationship Id="rId22" Type="http://schemas.openxmlformats.org/officeDocument/2006/relationships/hyperlink" Target="https://doi.org/10.1017/S0267190510000048" TargetMode="External"/><Relationship Id="rId27" Type="http://schemas.openxmlformats.org/officeDocument/2006/relationships/hyperlink" Target="https://journal.aall.org.au/index.php/jall/article/view/879" TargetMode="External"/><Relationship Id="rId30" Type="http://schemas.openxmlformats.org/officeDocument/2006/relationships/hyperlink" Target="http://dx.doi.org/10.1016/j.pragma.2009.12.013" TargetMode="External"/><Relationship Id="rId35" Type="http://schemas.openxmlformats.org/officeDocument/2006/relationships/hyperlink" Target="https://doi.org/10.1080/07294360.2019.1685947" TargetMode="External"/><Relationship Id="rId43" Type="http://schemas.openxmlformats.org/officeDocument/2006/relationships/hyperlink" Target="https://doi.org/10.5204/intjfyhe.v1i1.19" TargetMode="External"/><Relationship Id="rId48" Type="http://schemas.openxmlformats.org/officeDocument/2006/relationships/hyperlink" Target="https://www.officeforstudents.org.uk/publications/assessment-practices-in-english-higher-education-providers/" TargetMode="External"/><Relationship Id="rId56" Type="http://schemas.openxmlformats.org/officeDocument/2006/relationships/header" Target="header1.xml"/><Relationship Id="rId8" Type="http://schemas.openxmlformats.org/officeDocument/2006/relationships/hyperlink" Target="mailto:hdonaghue@qmu.ac.uk" TargetMode="External"/><Relationship Id="rId51" Type="http://schemas.openxmlformats.org/officeDocument/2006/relationships/hyperlink" Target="https://doi.org/10.1016/j.lcsi.2019.03.009" TargetMode="External"/><Relationship Id="rId3"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dx.doi.org/10.1080/07294360.2016.1199539" TargetMode="External"/><Relationship Id="rId25" Type="http://schemas.openxmlformats.org/officeDocument/2006/relationships/hyperlink" Target="http://dx.doi.org/10.1080/03075079.2015.1052736" TargetMode="External"/><Relationship Id="rId33" Type="http://schemas.openxmlformats.org/officeDocument/2006/relationships/hyperlink" Target="https://journal.aall.org.au/index.php/jall/article/view/534" TargetMode="External"/><Relationship Id="rId38" Type="http://schemas.openxmlformats.org/officeDocument/2006/relationships/hyperlink" Target="https://journal.aall.org.au/index.php/jall/article/view/422" TargetMode="External"/><Relationship Id="rId46" Type="http://schemas.openxmlformats.org/officeDocument/2006/relationships/hyperlink" Target="https://doi.org/10.1080/1360080X.2019.1658922" TargetMode="External"/><Relationship Id="rId59" Type="http://schemas.openxmlformats.org/officeDocument/2006/relationships/footer" Target="footer2.xml"/><Relationship Id="rId20" Type="http://schemas.openxmlformats.org/officeDocument/2006/relationships/hyperlink" Target="https://journal.aall.org.au/index.php/jall/article/view/525" TargetMode="External"/><Relationship Id="rId41" Type="http://schemas.openxmlformats.org/officeDocument/2006/relationships/hyperlink" Target="https://doi.org/10.1080/0309877X.2022.2044019" TargetMode="External"/><Relationship Id="rId54" Type="http://schemas.openxmlformats.org/officeDocument/2006/relationships/hyperlink" Target="https://doi.org/10.1177/1469787410387814"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oi.org/10.1080/03075079.2010.549221" TargetMode="External"/><Relationship Id="rId23" Type="http://schemas.openxmlformats.org/officeDocument/2006/relationships/hyperlink" Target="https://doi.org/10.1177/074108802238010" TargetMode="External"/><Relationship Id="rId28" Type="http://schemas.openxmlformats.org/officeDocument/2006/relationships/hyperlink" Target="https://doi.org/10.1080/03075070600922709" TargetMode="External"/><Relationship Id="rId36" Type="http://schemas.openxmlformats.org/officeDocument/2006/relationships/hyperlink" Target="https://doi.org/10.1080/13562510020029608" TargetMode="External"/><Relationship Id="rId49" Type="http://schemas.openxmlformats.org/officeDocument/2006/relationships/hyperlink" Target="https://doi.org/10.1080/07294360.2014.911254" TargetMode="External"/><Relationship Id="rId57" Type="http://schemas.openxmlformats.org/officeDocument/2006/relationships/header" Target="header2.xml"/><Relationship Id="rId10" Type="http://schemas.openxmlformats.org/officeDocument/2006/relationships/hyperlink" Target="https://link.springer.com/article/10.1007/s10734-019-00373-9" TargetMode="External"/><Relationship Id="rId31" Type="http://schemas.openxmlformats.org/officeDocument/2006/relationships/hyperlink" Target="http://dx.doi.org/10.1080/13562517.2021.1973410" TargetMode="External"/><Relationship Id="rId44" Type="http://schemas.openxmlformats.org/officeDocument/2006/relationships/hyperlink" Target="https://doi.org/10.1016/j.esp.2020.04.004" TargetMode="External"/><Relationship Id="rId52" Type="http://schemas.openxmlformats.org/officeDocument/2006/relationships/hyperlink" Target="https://doi.org/10.1080/13562510600874268" TargetMode="External"/><Relationship Id="rId6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negretti@chalmers.se"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E:\AALL\Journal\Templates\JALL_Article_Style-v2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E:\AALL\Journal\Templates\JALL_Article_Style-v20.dotx</Template>
  <TotalTime>0</TotalTime>
  <Pages>20</Pages>
  <Words>9270</Words>
  <Characters>52845</Characters>
  <Application>Microsoft Office Word</Application>
  <DocSecurity>0</DocSecurity>
  <Lines>440</Lines>
  <Paragraphs>123</Paragraphs>
  <ScaleCrop>false</ScaleCrop>
  <HeadingPairs>
    <vt:vector size="2" baseType="variant">
      <vt:variant>
        <vt:lpstr>Title</vt:lpstr>
      </vt:variant>
      <vt:variant>
        <vt:i4>1</vt:i4>
      </vt:variant>
    </vt:vector>
  </HeadingPairs>
  <TitlesOfParts>
    <vt:vector size="1" baseType="lpstr">
      <vt:lpstr>This is the title of the paper</vt:lpstr>
    </vt:vector>
  </TitlesOfParts>
  <LinksUpToDate>false</LinksUpToDate>
  <CharactersWithSpaces>61992</CharactersWithSpaces>
  <SharedDoc>false</SharedDoc>
  <HLinks>
    <vt:vector size="60" baseType="variant">
      <vt:variant>
        <vt:i4>2228267</vt:i4>
      </vt:variant>
      <vt:variant>
        <vt:i4>27</vt:i4>
      </vt:variant>
      <vt:variant>
        <vt:i4>0</vt:i4>
      </vt:variant>
      <vt:variant>
        <vt:i4>5</vt:i4>
      </vt:variant>
      <vt:variant>
        <vt:lpwstr>http://www.dfes.gov.uk/readwriteplus/understandingdyslexia/</vt:lpwstr>
      </vt:variant>
      <vt:variant>
        <vt:lpwstr/>
      </vt:variant>
      <vt:variant>
        <vt:i4>5374069</vt:i4>
      </vt:variant>
      <vt:variant>
        <vt:i4>24</vt:i4>
      </vt:variant>
      <vt:variant>
        <vt:i4>0</vt:i4>
      </vt:variant>
      <vt:variant>
        <vt:i4>5</vt:i4>
      </vt:variant>
      <vt:variant>
        <vt:lpwstr>http://dept.kent.edu/english/graduate/gatf/peer_editing.htm</vt:lpwstr>
      </vt:variant>
      <vt:variant>
        <vt:lpwstr/>
      </vt:variant>
      <vt:variant>
        <vt:i4>7995435</vt:i4>
      </vt:variant>
      <vt:variant>
        <vt:i4>21</vt:i4>
      </vt:variant>
      <vt:variant>
        <vt:i4>0</vt:i4>
      </vt:variant>
      <vt:variant>
        <vt:i4>5</vt:i4>
      </vt:variant>
      <vt:variant>
        <vt:lpwstr>http://www.bbk.ac.uk/disability/resources/dyslexia</vt:lpwstr>
      </vt:variant>
      <vt:variant>
        <vt:lpwstr/>
      </vt:variant>
      <vt:variant>
        <vt:i4>6946916</vt:i4>
      </vt:variant>
      <vt:variant>
        <vt:i4>18</vt:i4>
      </vt:variant>
      <vt:variant>
        <vt:i4>0</vt:i4>
      </vt:variant>
      <vt:variant>
        <vt:i4>5</vt:i4>
      </vt:variant>
      <vt:variant>
        <vt:lpwstr>http://lsn.curtin.edu.au/tlf/tlf2000/contents.html</vt:lpwstr>
      </vt:variant>
      <vt:variant>
        <vt:lpwstr/>
      </vt:variant>
      <vt:variant>
        <vt:i4>7995447</vt:i4>
      </vt:variant>
      <vt:variant>
        <vt:i4>15</vt:i4>
      </vt:variant>
      <vt:variant>
        <vt:i4>0</vt:i4>
      </vt:variant>
      <vt:variant>
        <vt:i4>5</vt:i4>
      </vt:variant>
      <vt:variant>
        <vt:lpwstr>http://www.ojs.unisa.edu.au/index.php/IJEI/article/viewFile/163/131</vt:lpwstr>
      </vt:variant>
      <vt:variant>
        <vt:lpwstr/>
      </vt:variant>
      <vt:variant>
        <vt:i4>6291583</vt:i4>
      </vt:variant>
      <vt:variant>
        <vt:i4>12</vt:i4>
      </vt:variant>
      <vt:variant>
        <vt:i4>0</vt:i4>
      </vt:variant>
      <vt:variant>
        <vt:i4>5</vt:i4>
      </vt:variant>
      <vt:variant>
        <vt:lpwstr>http://journal.aall.org.au/index.php/jall/</vt:lpwstr>
      </vt:variant>
      <vt:variant>
        <vt:lpwstr/>
      </vt:variant>
      <vt:variant>
        <vt:i4>2818069</vt:i4>
      </vt:variant>
      <vt:variant>
        <vt:i4>9</vt:i4>
      </vt:variant>
      <vt:variant>
        <vt:i4>0</vt:i4>
      </vt:variant>
      <vt:variant>
        <vt:i4>5</vt:i4>
      </vt:variant>
      <vt:variant>
        <vt:lpwstr>mailto:a.author@anotheruni.edu.au</vt:lpwstr>
      </vt:variant>
      <vt:variant>
        <vt:lpwstr/>
      </vt:variant>
      <vt:variant>
        <vt:i4>2883610</vt:i4>
      </vt:variant>
      <vt:variant>
        <vt:i4>6</vt:i4>
      </vt:variant>
      <vt:variant>
        <vt:i4>0</vt:i4>
      </vt:variant>
      <vt:variant>
        <vt:i4>5</vt:i4>
      </vt:variant>
      <vt:variant>
        <vt:lpwstr>mailto:t.author@uq.edu.au</vt:lpwstr>
      </vt:variant>
      <vt:variant>
        <vt:lpwstr/>
      </vt:variant>
      <vt:variant>
        <vt:i4>2818074</vt:i4>
      </vt:variant>
      <vt:variant>
        <vt:i4>3</vt:i4>
      </vt:variant>
      <vt:variant>
        <vt:i4>0</vt:i4>
      </vt:variant>
      <vt:variant>
        <vt:i4>5</vt:i4>
      </vt:variant>
      <vt:variant>
        <vt:lpwstr>mailto:s.author@uq.edu.au</vt:lpwstr>
      </vt:variant>
      <vt:variant>
        <vt:lpwstr/>
      </vt:variant>
      <vt:variant>
        <vt:i4>6422601</vt:i4>
      </vt:variant>
      <vt:variant>
        <vt:i4>0</vt:i4>
      </vt:variant>
      <vt:variant>
        <vt:i4>0</vt:i4>
      </vt:variant>
      <vt:variant>
        <vt:i4>5</vt:i4>
      </vt:variant>
      <vt:variant>
        <vt:lpwstr>mailto:d.rowland@uq.edu.au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This is the title of the paper</dc:title>
  <dc:creator/>
  <cp:lastModifiedBy/>
  <cp:revision>1</cp:revision>
  <cp:lastPrinted>2007-03-06T10:36:00Z</cp:lastPrinted>
  <dcterms:created xsi:type="dcterms:W3CDTF">2023-11-14T08:22:00Z</dcterms:created>
  <dcterms:modified xsi:type="dcterms:W3CDTF">2023-11-14T08:22:00Z</dcterms:modified>
</cp:coreProperties>
</file>