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47C3" w:rsidRDefault="0055791E">
      <w:pPr>
        <w:spacing w:after="443" w:line="259" w:lineRule="auto"/>
        <w:ind w:left="0" w:right="1" w:firstLine="0"/>
        <w:jc w:val="right"/>
        <w:rPr>
          <w:rFonts w:ascii="Calibri" w:eastAsia="Calibri" w:hAnsi="Calibri" w:cs="Calibri"/>
          <w:sz w:val="15"/>
        </w:rPr>
      </w:pPr>
      <w:bookmarkStart w:id="0" w:name="_GoBack"/>
      <w:bookmarkEnd w:id="0"/>
      <w:r>
        <w:rPr>
          <w:rFonts w:ascii="Calibri" w:eastAsia="Calibri" w:hAnsi="Calibri" w:cs="Calibri"/>
          <w:sz w:val="15"/>
        </w:rPr>
        <w:t>doi:10.1111/jpc.13646</w:t>
      </w:r>
    </w:p>
    <w:p w:rsidR="00C74C74" w:rsidRDefault="00C74C74" w:rsidP="00C74C74">
      <w:pPr>
        <w:tabs>
          <w:tab w:val="right" w:pos="9761"/>
        </w:tabs>
        <w:spacing w:after="0" w:line="259" w:lineRule="auto"/>
        <w:ind w:left="0" w:firstLine="0"/>
        <w:jc w:val="left"/>
      </w:pPr>
      <w:r>
        <w:rPr>
          <w:rFonts w:ascii="Calibri" w:eastAsia="Calibri" w:hAnsi="Calibri" w:cs="Calibri"/>
          <w:sz w:val="13"/>
        </w:rPr>
        <w:t>Journal of Paediatrics and Child Health (2017)</w:t>
      </w:r>
      <w:r>
        <w:rPr>
          <w:rFonts w:ascii="Calibri" w:eastAsia="Calibri" w:hAnsi="Calibri" w:cs="Calibri"/>
          <w:sz w:val="13"/>
        </w:rPr>
        <w:tab/>
      </w:r>
    </w:p>
    <w:p w:rsidR="00C74C74" w:rsidRDefault="00C74C74" w:rsidP="00C74C74">
      <w:pPr>
        <w:spacing w:after="0" w:line="259" w:lineRule="auto"/>
        <w:ind w:left="0" w:firstLine="0"/>
        <w:jc w:val="left"/>
      </w:pPr>
      <w:r>
        <w:rPr>
          <w:rFonts w:ascii="Calibri" w:eastAsia="Calibri" w:hAnsi="Calibri" w:cs="Calibri"/>
          <w:sz w:val="13"/>
        </w:rPr>
        <w:t>© 2017 Paediatrics and Child Health Division (The Royal Australasian College of Physicians)</w:t>
      </w:r>
    </w:p>
    <w:p w:rsidR="00C74C74" w:rsidRDefault="00C74C74">
      <w:pPr>
        <w:spacing w:after="443" w:line="259" w:lineRule="auto"/>
        <w:ind w:left="0" w:right="1" w:firstLine="0"/>
        <w:jc w:val="right"/>
      </w:pPr>
    </w:p>
    <w:p w:rsidR="008947C3" w:rsidRDefault="0055791E">
      <w:pPr>
        <w:spacing w:after="0" w:line="236" w:lineRule="auto"/>
        <w:ind w:left="0" w:firstLine="0"/>
        <w:jc w:val="left"/>
      </w:pPr>
      <w:r>
        <w:rPr>
          <w:rFonts w:ascii="Calibri" w:eastAsia="Calibri" w:hAnsi="Calibri" w:cs="Calibri"/>
          <w:sz w:val="30"/>
        </w:rPr>
        <w:t>Prevalence, presentation and treatment of lower limb pathologies in juvenile idiopathic arthritis: A narrative review</w:t>
      </w:r>
    </w:p>
    <w:p w:rsidR="008947C3" w:rsidRDefault="0055791E">
      <w:pPr>
        <w:spacing w:after="94" w:line="259" w:lineRule="auto"/>
        <w:ind w:left="0" w:firstLine="0"/>
        <w:jc w:val="left"/>
      </w:pPr>
      <w:r>
        <w:rPr>
          <w:rFonts w:ascii="Calibri" w:eastAsia="Calibri" w:hAnsi="Calibri" w:cs="Calibri"/>
          <w:sz w:val="20"/>
        </w:rPr>
        <w:t>Antoni Fellas,</w:t>
      </w:r>
      <w:r>
        <w:rPr>
          <w:rFonts w:ascii="Calibri" w:eastAsia="Calibri" w:hAnsi="Calibri" w:cs="Calibri"/>
          <w:sz w:val="18"/>
          <w:vertAlign w:val="superscript"/>
        </w:rPr>
        <w:t xml:space="preserve">1 </w:t>
      </w:r>
      <w:r>
        <w:rPr>
          <w:rFonts w:ascii="Calibri" w:eastAsia="Calibri" w:hAnsi="Calibri" w:cs="Calibri"/>
          <w:sz w:val="20"/>
        </w:rPr>
        <w:t>Fiona Hawke,</w:t>
      </w:r>
      <w:r>
        <w:rPr>
          <w:rFonts w:ascii="Calibri" w:eastAsia="Calibri" w:hAnsi="Calibri" w:cs="Calibri"/>
          <w:sz w:val="18"/>
          <w:vertAlign w:val="superscript"/>
        </w:rPr>
        <w:t xml:space="preserve">1 </w:t>
      </w:r>
      <w:r>
        <w:rPr>
          <w:rFonts w:ascii="Calibri" w:eastAsia="Calibri" w:hAnsi="Calibri" w:cs="Calibri"/>
          <w:sz w:val="20"/>
        </w:rPr>
        <w:t>Derek Santos</w:t>
      </w:r>
      <w:r>
        <w:rPr>
          <w:rFonts w:ascii="Calibri" w:eastAsia="Calibri" w:hAnsi="Calibri" w:cs="Calibri"/>
          <w:sz w:val="18"/>
          <w:vertAlign w:val="superscript"/>
        </w:rPr>
        <w:t xml:space="preserve">2 </w:t>
      </w:r>
      <w:r>
        <w:rPr>
          <w:rFonts w:ascii="Calibri" w:eastAsia="Calibri" w:hAnsi="Calibri" w:cs="Calibri"/>
          <w:sz w:val="20"/>
        </w:rPr>
        <w:t>and Andrea Coda</w:t>
      </w:r>
      <w:r>
        <w:rPr>
          <w:rFonts w:ascii="Calibri" w:eastAsia="Calibri" w:hAnsi="Calibri" w:cs="Calibri"/>
          <w:sz w:val="18"/>
          <w:vertAlign w:val="superscript"/>
        </w:rPr>
        <w:t>1</w:t>
      </w:r>
    </w:p>
    <w:p w:rsidR="008947C3" w:rsidRDefault="0055791E">
      <w:pPr>
        <w:spacing w:after="634" w:line="285" w:lineRule="auto"/>
        <w:ind w:left="-15" w:right="2" w:firstLine="0"/>
      </w:pPr>
      <w:r>
        <w:rPr>
          <w:rFonts w:ascii="Calibri" w:eastAsia="Calibri" w:hAnsi="Calibri" w:cs="Calibri"/>
          <w:sz w:val="14"/>
          <w:vertAlign w:val="superscript"/>
        </w:rPr>
        <w:t>1</w:t>
      </w:r>
      <w:r>
        <w:rPr>
          <w:rFonts w:ascii="Calibri" w:eastAsia="Calibri" w:hAnsi="Calibri" w:cs="Calibri"/>
          <w:sz w:val="15"/>
        </w:rPr>
        <w:t xml:space="preserve">School of Health Sciences, Faculty of Health and Medicine, University of Newcastle, Newcastle, New South Wales, Australia and </w:t>
      </w:r>
      <w:r>
        <w:rPr>
          <w:rFonts w:ascii="Calibri" w:eastAsia="Calibri" w:hAnsi="Calibri" w:cs="Calibri"/>
          <w:sz w:val="14"/>
          <w:vertAlign w:val="superscript"/>
        </w:rPr>
        <w:t>2</w:t>
      </w:r>
      <w:r>
        <w:rPr>
          <w:rFonts w:ascii="Calibri" w:eastAsia="Calibri" w:hAnsi="Calibri" w:cs="Calibri"/>
          <w:sz w:val="15"/>
        </w:rPr>
        <w:t>School of Health Sciences, Queen Margaret University, Edinburgh, United Kingdom</w:t>
      </w:r>
    </w:p>
    <w:p w:rsidR="008947C3" w:rsidRDefault="0055791E">
      <w:pPr>
        <w:spacing w:after="120" w:line="259" w:lineRule="auto"/>
        <w:ind w:left="0" w:firstLine="0"/>
        <w:jc w:val="left"/>
      </w:pPr>
      <w:r>
        <w:rPr>
          <w:rFonts w:ascii="Calibri" w:eastAsia="Calibri" w:hAnsi="Calibri" w:cs="Calibri"/>
          <w:noProof/>
          <w:sz w:val="22"/>
        </w:rPr>
        <mc:AlternateContent>
          <mc:Choice Requires="wpg">
            <w:drawing>
              <wp:inline distT="0" distB="0" distL="0" distR="0">
                <wp:extent cx="6197765" cy="6480"/>
                <wp:effectExtent l="0" t="0" r="0" b="0"/>
                <wp:docPr id="13672" name="Group 13672"/>
                <wp:cNvGraphicFramePr/>
                <a:graphic xmlns:a="http://schemas.openxmlformats.org/drawingml/2006/main">
                  <a:graphicData uri="http://schemas.microsoft.com/office/word/2010/wordprocessingGroup">
                    <wpg:wgp>
                      <wpg:cNvGrpSpPr/>
                      <wpg:grpSpPr>
                        <a:xfrm>
                          <a:off x="0" y="0"/>
                          <a:ext cx="6197765" cy="6480"/>
                          <a:chOff x="0" y="0"/>
                          <a:chExt cx="6197765" cy="6480"/>
                        </a:xfrm>
                      </wpg:grpSpPr>
                      <wps:wsp>
                        <wps:cNvPr id="15631" name="Shape 15631"/>
                        <wps:cNvSpPr/>
                        <wps:spPr>
                          <a:xfrm>
                            <a:off x="0" y="0"/>
                            <a:ext cx="6197765" cy="9144"/>
                          </a:xfrm>
                          <a:custGeom>
                            <a:avLst/>
                            <a:gdLst/>
                            <a:ahLst/>
                            <a:cxnLst/>
                            <a:rect l="0" t="0" r="0" b="0"/>
                            <a:pathLst>
                              <a:path w="6197765" h="9144">
                                <a:moveTo>
                                  <a:pt x="0" y="0"/>
                                </a:moveTo>
                                <a:lnTo>
                                  <a:pt x="6197765" y="0"/>
                                </a:lnTo>
                                <a:lnTo>
                                  <a:pt x="6197765" y="9144"/>
                                </a:lnTo>
                                <a:lnTo>
                                  <a:pt x="0" y="9144"/>
                                </a:lnTo>
                                <a:lnTo>
                                  <a:pt x="0" y="0"/>
                                </a:lnTo>
                              </a:path>
                            </a:pathLst>
                          </a:custGeom>
                          <a:ln w="0" cap="rnd">
                            <a:round/>
                          </a:ln>
                        </wps:spPr>
                        <wps:style>
                          <a:lnRef idx="1">
                            <a:srgbClr val="181717"/>
                          </a:lnRef>
                          <a:fillRef idx="1">
                            <a:srgbClr val="181717"/>
                          </a:fillRef>
                          <a:effectRef idx="0">
                            <a:scrgbClr r="0" g="0" b="0"/>
                          </a:effectRef>
                          <a:fontRef idx="none"/>
                        </wps:style>
                        <wps:bodyPr/>
                      </wps:wsp>
                    </wpg:wgp>
                  </a:graphicData>
                </a:graphic>
              </wp:inline>
            </w:drawing>
          </mc:Choice>
          <mc:Fallback xmlns:a="http://schemas.openxmlformats.org/drawingml/2006/main">
            <w:pict>
              <v:group id="Group 13672" style="width:488.013pt;height:0.510254pt;mso-position-horizontal-relative:char;mso-position-vertical-relative:line" coordsize="61977,64">
                <v:shape id="Shape 15632" style="position:absolute;width:61977;height:91;left:0;top:0;" coordsize="6197765,9144" path="m0,0l6197765,0l6197765,9144l0,9144l0,0">
                  <v:stroke weight="0pt" endcap="round" joinstyle="round" on="true" color="#181717"/>
                  <v:fill on="true" color="#181717"/>
                </v:shape>
              </v:group>
            </w:pict>
          </mc:Fallback>
        </mc:AlternateContent>
      </w:r>
    </w:p>
    <w:p w:rsidR="008947C3" w:rsidRDefault="0055791E">
      <w:pPr>
        <w:spacing w:after="135" w:line="267" w:lineRule="auto"/>
        <w:ind w:left="-5"/>
      </w:pPr>
      <w:r>
        <w:rPr>
          <w:rFonts w:ascii="Calibri" w:eastAsia="Calibri" w:hAnsi="Calibri" w:cs="Calibri"/>
        </w:rPr>
        <w:t xml:space="preserve">Abstract: Juvenile idiopathic arthritis is a chronic, autoimmune, inflammatory joint disease. It is the most common arthritis in children and adolescents. This paper reviews the presentation and treatment of lower limb pathologies in juvenile idiopathic arthritis from an allied health perspective. Common lower limb pathologies include: synovitis causing swelling, tenderness and pain; persistent inflammation leading to flexion contractures; limb length discrepancies; muscle atrophy; </w:t>
      </w:r>
      <w:proofErr w:type="spellStart"/>
      <w:r>
        <w:rPr>
          <w:rFonts w:ascii="Calibri" w:eastAsia="Calibri" w:hAnsi="Calibri" w:cs="Calibri"/>
        </w:rPr>
        <w:t>enthesopathies</w:t>
      </w:r>
      <w:proofErr w:type="spellEnd"/>
      <w:r>
        <w:rPr>
          <w:rFonts w:ascii="Calibri" w:eastAsia="Calibri" w:hAnsi="Calibri" w:cs="Calibri"/>
        </w:rPr>
        <w:t xml:space="preserve"> such as plantar fasciitis and Achilles tendonitis; and tenosynovitis. Allied health professionals may use a range of non-invasive therapies, including hydrotherapy, strengthening and stretching exercises, massaging, taping and foot orthoses to manage lower limb pathologies in juvenile idiopathic arthritis. Early detection and treatment of these common and potentially disabling lower limb pathologies are fundamental to achieving gold standard care for children with juvenile idiopathic arthritis.</w:t>
      </w:r>
    </w:p>
    <w:p w:rsidR="008947C3" w:rsidRDefault="0055791E">
      <w:pPr>
        <w:tabs>
          <w:tab w:val="center" w:pos="3445"/>
        </w:tabs>
        <w:spacing w:after="0" w:line="267" w:lineRule="auto"/>
        <w:ind w:left="-15" w:firstLine="0"/>
        <w:jc w:val="left"/>
      </w:pPr>
      <w:r>
        <w:rPr>
          <w:rFonts w:ascii="Calibri" w:eastAsia="Calibri" w:hAnsi="Calibri" w:cs="Calibri"/>
        </w:rPr>
        <w:t>Key words:</w:t>
      </w:r>
      <w:r>
        <w:rPr>
          <w:rFonts w:ascii="Calibri" w:eastAsia="Calibri" w:hAnsi="Calibri" w:cs="Calibri"/>
        </w:rPr>
        <w:tab/>
        <w:t>ankle; child; foot; juvenile idiopathic arthritis; lower extremity; prevalence.</w:t>
      </w:r>
    </w:p>
    <w:p w:rsidR="008947C3" w:rsidRDefault="0055791E">
      <w:pPr>
        <w:spacing w:after="0" w:line="259" w:lineRule="auto"/>
        <w:ind w:left="0" w:firstLine="0"/>
        <w:jc w:val="left"/>
      </w:pPr>
      <w:r>
        <w:rPr>
          <w:rFonts w:ascii="Calibri" w:eastAsia="Calibri" w:hAnsi="Calibri" w:cs="Calibri"/>
          <w:noProof/>
          <w:sz w:val="22"/>
        </w:rPr>
        <mc:AlternateContent>
          <mc:Choice Requires="wpg">
            <w:drawing>
              <wp:inline distT="0" distB="0" distL="0" distR="0">
                <wp:extent cx="6197753" cy="6477"/>
                <wp:effectExtent l="0" t="0" r="0" b="0"/>
                <wp:docPr id="13673" name="Group 13673"/>
                <wp:cNvGraphicFramePr/>
                <a:graphic xmlns:a="http://schemas.openxmlformats.org/drawingml/2006/main">
                  <a:graphicData uri="http://schemas.microsoft.com/office/word/2010/wordprocessingGroup">
                    <wpg:wgp>
                      <wpg:cNvGrpSpPr/>
                      <wpg:grpSpPr>
                        <a:xfrm>
                          <a:off x="0" y="0"/>
                          <a:ext cx="6197753" cy="6477"/>
                          <a:chOff x="0" y="0"/>
                          <a:chExt cx="6197753" cy="6477"/>
                        </a:xfrm>
                      </wpg:grpSpPr>
                      <wps:wsp>
                        <wps:cNvPr id="15633" name="Shape 15633"/>
                        <wps:cNvSpPr/>
                        <wps:spPr>
                          <a:xfrm>
                            <a:off x="0" y="0"/>
                            <a:ext cx="6197753" cy="9144"/>
                          </a:xfrm>
                          <a:custGeom>
                            <a:avLst/>
                            <a:gdLst/>
                            <a:ahLst/>
                            <a:cxnLst/>
                            <a:rect l="0" t="0" r="0" b="0"/>
                            <a:pathLst>
                              <a:path w="6197753" h="9144">
                                <a:moveTo>
                                  <a:pt x="0" y="0"/>
                                </a:moveTo>
                                <a:lnTo>
                                  <a:pt x="6197753" y="0"/>
                                </a:lnTo>
                                <a:lnTo>
                                  <a:pt x="6197753" y="9144"/>
                                </a:lnTo>
                                <a:lnTo>
                                  <a:pt x="0" y="9144"/>
                                </a:lnTo>
                                <a:lnTo>
                                  <a:pt x="0" y="0"/>
                                </a:lnTo>
                              </a:path>
                            </a:pathLst>
                          </a:custGeom>
                          <a:ln w="0" cap="rnd">
                            <a:round/>
                          </a:ln>
                        </wps:spPr>
                        <wps:style>
                          <a:lnRef idx="1">
                            <a:srgbClr val="181717"/>
                          </a:lnRef>
                          <a:fillRef idx="1">
                            <a:srgbClr val="181717"/>
                          </a:fillRef>
                          <a:effectRef idx="0">
                            <a:scrgbClr r="0" g="0" b="0"/>
                          </a:effectRef>
                          <a:fontRef idx="none"/>
                        </wps:style>
                        <wps:bodyPr/>
                      </wps:wsp>
                    </wpg:wgp>
                  </a:graphicData>
                </a:graphic>
              </wp:inline>
            </w:drawing>
          </mc:Choice>
          <mc:Fallback xmlns:a="http://schemas.openxmlformats.org/drawingml/2006/main">
            <w:pict>
              <v:group id="Group 13673" style="width:488.012pt;height:0.509979pt;mso-position-horizontal-relative:char;mso-position-vertical-relative:line" coordsize="61977,64">
                <v:shape id="Shape 15634" style="position:absolute;width:61977;height:91;left:0;top:0;" coordsize="6197753,9144" path="m0,0l6197753,0l6197753,9144l0,9144l0,0">
                  <v:stroke weight="0pt" endcap="round" joinstyle="round" on="true" color="#181717"/>
                  <v:fill on="true" color="#181717"/>
                </v:shape>
              </v:group>
            </w:pict>
          </mc:Fallback>
        </mc:AlternateContent>
      </w:r>
    </w:p>
    <w:p w:rsidR="008947C3" w:rsidRDefault="008947C3">
      <w:pPr>
        <w:sectPr w:rsidR="008947C3" w:rsidSect="0055791E">
          <w:footerReference w:type="even" r:id="rId7"/>
          <w:footerReference w:type="default" r:id="rId8"/>
          <w:footerReference w:type="first" r:id="rId9"/>
          <w:pgSz w:w="11906" w:h="15591"/>
          <w:pgMar w:top="930" w:right="1025" w:bottom="1158" w:left="1120" w:header="720" w:footer="720" w:gutter="0"/>
          <w:cols w:space="720"/>
          <w:docGrid w:linePitch="218"/>
        </w:sectPr>
      </w:pPr>
    </w:p>
    <w:p w:rsidR="008947C3" w:rsidRDefault="0055791E">
      <w:pPr>
        <w:pStyle w:val="Heading1"/>
      </w:pPr>
      <w:r>
        <w:t>Introduction</w:t>
      </w:r>
    </w:p>
    <w:p w:rsidR="008947C3" w:rsidRDefault="0055791E">
      <w:pPr>
        <w:spacing w:after="225"/>
      </w:pPr>
      <w:r>
        <w:t>Juvenile idiopathic arthritis (JIA) is the most common rheumatic disease in children.</w:t>
      </w:r>
      <w:r>
        <w:rPr>
          <w:vertAlign w:val="superscript"/>
        </w:rPr>
        <w:t xml:space="preserve">1 </w:t>
      </w:r>
      <w:r>
        <w:t>Prevalence estimates in developed countries range from 16 to 400 per 100 000.</w:t>
      </w:r>
      <w:r>
        <w:rPr>
          <w:vertAlign w:val="superscript"/>
        </w:rPr>
        <w:t xml:space="preserve">1,2 </w:t>
      </w:r>
      <w:r>
        <w:t>Common lower limb symptoms of active JIA are joint swelling, tenderness, pain, warmth and stiffness.</w:t>
      </w:r>
      <w:r>
        <w:rPr>
          <w:vertAlign w:val="superscript"/>
        </w:rPr>
        <w:t xml:space="preserve">1 </w:t>
      </w:r>
      <w:r>
        <w:t>As the child may experience pain from a young age, an antalgic gait (abnormal walking habits to</w:t>
      </w:r>
    </w:p>
    <w:tbl>
      <w:tblPr>
        <w:tblStyle w:val="TableGrid"/>
        <w:tblW w:w="4640" w:type="dxa"/>
        <w:tblInd w:w="95" w:type="dxa"/>
        <w:tblLook w:val="04A0" w:firstRow="1" w:lastRow="0" w:firstColumn="1" w:lastColumn="0" w:noHBand="0" w:noVBand="1"/>
      </w:tblPr>
      <w:tblGrid>
        <w:gridCol w:w="120"/>
        <w:gridCol w:w="4399"/>
        <w:gridCol w:w="121"/>
      </w:tblGrid>
      <w:tr w:rsidR="008947C3" w:rsidTr="0047773F">
        <w:trPr>
          <w:trHeight w:val="3100"/>
        </w:trPr>
        <w:tc>
          <w:tcPr>
            <w:tcW w:w="120" w:type="dxa"/>
            <w:vMerge w:val="restart"/>
            <w:tcBorders>
              <w:top w:val="nil"/>
              <w:left w:val="nil"/>
              <w:bottom w:val="nil"/>
              <w:right w:val="nil"/>
            </w:tcBorders>
            <w:shd w:val="clear" w:color="auto" w:fill="D2D3E1"/>
          </w:tcPr>
          <w:p w:rsidR="008947C3" w:rsidRDefault="008947C3">
            <w:pPr>
              <w:spacing w:after="160" w:line="259" w:lineRule="auto"/>
              <w:ind w:left="0" w:firstLine="0"/>
              <w:jc w:val="left"/>
            </w:pPr>
          </w:p>
        </w:tc>
        <w:tc>
          <w:tcPr>
            <w:tcW w:w="4399" w:type="dxa"/>
            <w:tcBorders>
              <w:top w:val="nil"/>
              <w:left w:val="nil"/>
              <w:bottom w:val="nil"/>
              <w:right w:val="nil"/>
            </w:tcBorders>
            <w:shd w:val="clear" w:color="auto" w:fill="D2D0E0"/>
          </w:tcPr>
          <w:p w:rsidR="008947C3" w:rsidRDefault="0055791E">
            <w:pPr>
              <w:spacing w:after="63" w:line="259" w:lineRule="auto"/>
              <w:ind w:left="0" w:firstLine="0"/>
              <w:jc w:val="left"/>
            </w:pPr>
            <w:r>
              <w:rPr>
                <w:rFonts w:ascii="Calibri" w:eastAsia="Calibri" w:hAnsi="Calibri" w:cs="Calibri"/>
              </w:rPr>
              <w:t>Key Points</w:t>
            </w:r>
          </w:p>
          <w:p w:rsidR="008947C3" w:rsidRDefault="0055791E">
            <w:pPr>
              <w:numPr>
                <w:ilvl w:val="0"/>
                <w:numId w:val="6"/>
              </w:numPr>
              <w:spacing w:after="13" w:line="271" w:lineRule="auto"/>
              <w:ind w:right="-1" w:hanging="162"/>
            </w:pPr>
            <w:r>
              <w:rPr>
                <w:rFonts w:ascii="Calibri" w:eastAsia="Calibri" w:hAnsi="Calibri" w:cs="Calibri"/>
              </w:rPr>
              <w:t>Juvenile idiopathic arthritis (JIA) has the potential to cause a variety of common and disabling lower limb problems. These lower limb problems present clinically with pain, swelling, tenderness and joint stiffness.</w:t>
            </w:r>
          </w:p>
          <w:p w:rsidR="008947C3" w:rsidRDefault="0055791E">
            <w:pPr>
              <w:numPr>
                <w:ilvl w:val="0"/>
                <w:numId w:val="6"/>
              </w:numPr>
              <w:spacing w:after="9" w:line="276" w:lineRule="auto"/>
              <w:ind w:right="-1" w:hanging="162"/>
            </w:pPr>
            <w:r>
              <w:rPr>
                <w:rFonts w:ascii="Calibri" w:eastAsia="Calibri" w:hAnsi="Calibri" w:cs="Calibri"/>
              </w:rPr>
              <w:t>Following early and accurate diagnosis, rapid evidence-based, non-invasive interventions, such as hydrotherapy, strengthening and stretching exercises, massaging, taping and foot orthoses, may be prescribed by allied health professionals to better manage lower limb problems in JIA.</w:t>
            </w:r>
          </w:p>
          <w:p w:rsidR="008947C3" w:rsidRDefault="0055791E">
            <w:pPr>
              <w:numPr>
                <w:ilvl w:val="0"/>
                <w:numId w:val="6"/>
              </w:numPr>
              <w:spacing w:after="0" w:line="259" w:lineRule="auto"/>
              <w:ind w:right="-1" w:hanging="162"/>
            </w:pPr>
            <w:r>
              <w:rPr>
                <w:rFonts w:ascii="Calibri" w:eastAsia="Calibri" w:hAnsi="Calibri" w:cs="Calibri"/>
              </w:rPr>
              <w:t>Further research may include assessing the long-term outcomes of common lower limb problems in JIA and rigorously testing available treatment options in randomised controlled trials.</w:t>
            </w:r>
          </w:p>
        </w:tc>
        <w:tc>
          <w:tcPr>
            <w:tcW w:w="121" w:type="dxa"/>
            <w:vMerge w:val="restart"/>
            <w:tcBorders>
              <w:top w:val="nil"/>
              <w:left w:val="nil"/>
              <w:bottom w:val="nil"/>
              <w:right w:val="nil"/>
            </w:tcBorders>
            <w:shd w:val="clear" w:color="auto" w:fill="D2D3E1"/>
          </w:tcPr>
          <w:p w:rsidR="008947C3" w:rsidRDefault="008947C3">
            <w:pPr>
              <w:spacing w:after="160" w:line="259" w:lineRule="auto"/>
              <w:ind w:left="0" w:firstLine="0"/>
              <w:jc w:val="left"/>
            </w:pPr>
          </w:p>
        </w:tc>
      </w:tr>
      <w:tr w:rsidR="008947C3">
        <w:trPr>
          <w:trHeight w:val="120"/>
        </w:trPr>
        <w:tc>
          <w:tcPr>
            <w:tcW w:w="0" w:type="auto"/>
            <w:vMerge/>
            <w:tcBorders>
              <w:top w:val="nil"/>
              <w:left w:val="nil"/>
              <w:bottom w:val="nil"/>
              <w:right w:val="nil"/>
            </w:tcBorders>
          </w:tcPr>
          <w:p w:rsidR="008947C3" w:rsidRDefault="008947C3">
            <w:pPr>
              <w:spacing w:after="160" w:line="259" w:lineRule="auto"/>
              <w:ind w:left="0" w:firstLine="0"/>
              <w:jc w:val="left"/>
            </w:pPr>
          </w:p>
        </w:tc>
        <w:tc>
          <w:tcPr>
            <w:tcW w:w="4399" w:type="dxa"/>
            <w:tcBorders>
              <w:top w:val="nil"/>
              <w:left w:val="nil"/>
              <w:bottom w:val="nil"/>
              <w:right w:val="nil"/>
            </w:tcBorders>
            <w:shd w:val="clear" w:color="auto" w:fill="D2D3E1"/>
          </w:tcPr>
          <w:p w:rsidR="008947C3" w:rsidRDefault="008947C3">
            <w:pPr>
              <w:spacing w:after="160" w:line="259" w:lineRule="auto"/>
              <w:ind w:left="0" w:firstLine="0"/>
              <w:jc w:val="left"/>
            </w:pPr>
          </w:p>
        </w:tc>
        <w:tc>
          <w:tcPr>
            <w:tcW w:w="0" w:type="auto"/>
            <w:vMerge/>
            <w:tcBorders>
              <w:top w:val="nil"/>
              <w:left w:val="nil"/>
              <w:bottom w:val="nil"/>
              <w:right w:val="nil"/>
            </w:tcBorders>
          </w:tcPr>
          <w:p w:rsidR="008947C3" w:rsidRDefault="008947C3">
            <w:pPr>
              <w:spacing w:after="160" w:line="259" w:lineRule="auto"/>
              <w:ind w:left="0" w:firstLine="0"/>
              <w:jc w:val="left"/>
            </w:pPr>
          </w:p>
        </w:tc>
      </w:tr>
      <w:tr w:rsidR="008947C3">
        <w:trPr>
          <w:trHeight w:val="1513"/>
        </w:trPr>
        <w:tc>
          <w:tcPr>
            <w:tcW w:w="4640" w:type="dxa"/>
            <w:gridSpan w:val="3"/>
            <w:tcBorders>
              <w:top w:val="nil"/>
              <w:left w:val="nil"/>
              <w:bottom w:val="nil"/>
              <w:right w:val="nil"/>
            </w:tcBorders>
            <w:vAlign w:val="bottom"/>
          </w:tcPr>
          <w:p w:rsidR="008947C3" w:rsidRDefault="0055791E">
            <w:pPr>
              <w:spacing w:after="154" w:line="259" w:lineRule="auto"/>
              <w:ind w:left="0" w:firstLine="0"/>
              <w:jc w:val="left"/>
            </w:pPr>
            <w:r>
              <w:rPr>
                <w:rFonts w:ascii="Calibri" w:eastAsia="Calibri" w:hAnsi="Calibri" w:cs="Calibri"/>
                <w:noProof/>
                <w:sz w:val="22"/>
              </w:rPr>
              <mc:AlternateContent>
                <mc:Choice Requires="wpg">
                  <w:drawing>
                    <wp:inline distT="0" distB="0" distL="0" distR="0">
                      <wp:extent cx="2946235" cy="6477"/>
                      <wp:effectExtent l="0" t="0" r="0" b="0"/>
                      <wp:docPr id="14149" name="Group 14149"/>
                      <wp:cNvGraphicFramePr/>
                      <a:graphic xmlns:a="http://schemas.openxmlformats.org/drawingml/2006/main">
                        <a:graphicData uri="http://schemas.microsoft.com/office/word/2010/wordprocessingGroup">
                          <wpg:wgp>
                            <wpg:cNvGrpSpPr/>
                            <wpg:grpSpPr>
                              <a:xfrm>
                                <a:off x="0" y="0"/>
                                <a:ext cx="2946235" cy="6477"/>
                                <a:chOff x="0" y="0"/>
                                <a:chExt cx="2946235" cy="6477"/>
                              </a:xfrm>
                            </wpg:grpSpPr>
                            <wps:wsp>
                              <wps:cNvPr id="15635" name="Shape 15635"/>
                              <wps:cNvSpPr/>
                              <wps:spPr>
                                <a:xfrm>
                                  <a:off x="0" y="0"/>
                                  <a:ext cx="2946235" cy="9144"/>
                                </a:xfrm>
                                <a:custGeom>
                                  <a:avLst/>
                                  <a:gdLst/>
                                  <a:ahLst/>
                                  <a:cxnLst/>
                                  <a:rect l="0" t="0" r="0" b="0"/>
                                  <a:pathLst>
                                    <a:path w="2946235" h="9144">
                                      <a:moveTo>
                                        <a:pt x="0" y="0"/>
                                      </a:moveTo>
                                      <a:lnTo>
                                        <a:pt x="2946235" y="0"/>
                                      </a:lnTo>
                                      <a:lnTo>
                                        <a:pt x="2946235" y="9144"/>
                                      </a:lnTo>
                                      <a:lnTo>
                                        <a:pt x="0" y="9144"/>
                                      </a:lnTo>
                                      <a:lnTo>
                                        <a:pt x="0" y="0"/>
                                      </a:lnTo>
                                    </a:path>
                                  </a:pathLst>
                                </a:custGeom>
                                <a:ln w="0" cap="rnd">
                                  <a:round/>
                                </a:ln>
                              </wps:spPr>
                              <wps:style>
                                <a:lnRef idx="1">
                                  <a:srgbClr val="F2924B"/>
                                </a:lnRef>
                                <a:fillRef idx="1">
                                  <a:srgbClr val="F2924B"/>
                                </a:fillRef>
                                <a:effectRef idx="0">
                                  <a:scrgbClr r="0" g="0" b="0"/>
                                </a:effectRef>
                                <a:fontRef idx="none"/>
                              </wps:style>
                              <wps:bodyPr/>
                            </wps:wsp>
                          </wpg:wgp>
                        </a:graphicData>
                      </a:graphic>
                    </wp:inline>
                  </w:drawing>
                </mc:Choice>
                <mc:Fallback xmlns:a="http://schemas.openxmlformats.org/drawingml/2006/main">
                  <w:pict>
                    <v:group id="Group 14149" style="width:231.987pt;height:0.51001pt;mso-position-horizontal-relative:char;mso-position-vertical-relative:line" coordsize="29462,64">
                      <v:shape id="Shape 15636" style="position:absolute;width:29462;height:91;left:0;top:0;" coordsize="2946235,9144" path="m0,0l2946235,0l2946235,9144l0,9144l0,0">
                        <v:stroke weight="0pt" endcap="round" joinstyle="round" on="true" color="#f2924b"/>
                        <v:fill on="true" color="#f2924b"/>
                      </v:shape>
                    </v:group>
                  </w:pict>
                </mc:Fallback>
              </mc:AlternateContent>
            </w:r>
          </w:p>
          <w:p w:rsidR="008947C3" w:rsidRDefault="0055791E">
            <w:pPr>
              <w:spacing w:after="100" w:line="263" w:lineRule="auto"/>
              <w:ind w:left="0" w:firstLine="0"/>
            </w:pPr>
            <w:r>
              <w:rPr>
                <w:rFonts w:ascii="Calibri" w:eastAsia="Calibri" w:hAnsi="Calibri" w:cs="Calibri"/>
                <w:sz w:val="15"/>
              </w:rPr>
              <w:t>Correspondence: Mr Antoni Fellas, School of Health Sciences, Faculty of Health and Medicine, University of Newcastle, Callaghan Campus, University Drive, Callaghan, NSW 2308, Australia. Fax: +61 24349 4538; email: antoni.fellas@uon.edu.au</w:t>
            </w:r>
          </w:p>
          <w:p w:rsidR="008947C3" w:rsidRDefault="0055791E">
            <w:pPr>
              <w:spacing w:after="103" w:line="259" w:lineRule="auto"/>
              <w:ind w:left="0" w:firstLine="0"/>
              <w:jc w:val="left"/>
            </w:pPr>
            <w:r>
              <w:rPr>
                <w:rFonts w:ascii="Calibri" w:eastAsia="Calibri" w:hAnsi="Calibri" w:cs="Calibri"/>
                <w:sz w:val="15"/>
              </w:rPr>
              <w:t>Conflict of interest: None declared.</w:t>
            </w:r>
          </w:p>
          <w:p w:rsidR="008947C3" w:rsidRDefault="0055791E">
            <w:pPr>
              <w:spacing w:after="0" w:line="259" w:lineRule="auto"/>
              <w:ind w:left="0" w:firstLine="0"/>
              <w:jc w:val="left"/>
            </w:pPr>
            <w:r>
              <w:rPr>
                <w:rFonts w:ascii="Calibri" w:eastAsia="Calibri" w:hAnsi="Calibri" w:cs="Calibri"/>
                <w:sz w:val="15"/>
              </w:rPr>
              <w:t>Accepted for publication 23 May 2017.</w:t>
            </w:r>
          </w:p>
        </w:tc>
      </w:tr>
    </w:tbl>
    <w:p w:rsidR="008947C3" w:rsidRDefault="0055791E">
      <w:pPr>
        <w:ind w:left="-5"/>
      </w:pPr>
      <w:r>
        <w:t>prevent pain) may develop.</w:t>
      </w:r>
      <w:r>
        <w:rPr>
          <w:vertAlign w:val="superscript"/>
        </w:rPr>
        <w:t xml:space="preserve">3 </w:t>
      </w:r>
      <w:proofErr w:type="spellStart"/>
      <w:r>
        <w:t>Enthesopathies</w:t>
      </w:r>
      <w:proofErr w:type="spellEnd"/>
      <w:r>
        <w:t xml:space="preserve"> (particularly of the plantar fascia and/or Achilles tendon) can cause prolonged pain and disability.</w:t>
      </w:r>
      <w:r>
        <w:rPr>
          <w:vertAlign w:val="superscript"/>
        </w:rPr>
        <w:t xml:space="preserve">1 </w:t>
      </w:r>
      <w:r>
        <w:t xml:space="preserve">If lower limb pathologies are not well managed, chronic problems including limb length discrepancies, muscle atrophy and </w:t>
      </w:r>
      <w:r>
        <w:rPr>
          <w:rFonts w:ascii="Calibri" w:eastAsia="Calibri" w:hAnsi="Calibri" w:cs="Calibri"/>
        </w:rPr>
        <w:t>fl</w:t>
      </w:r>
      <w:r>
        <w:t>exion contractures may occur.</w:t>
      </w:r>
      <w:r>
        <w:rPr>
          <w:vertAlign w:val="superscript"/>
        </w:rPr>
        <w:t xml:space="preserve">1,4,5 </w:t>
      </w:r>
      <w:r>
        <w:t>Limb length discrepancies occur when persistent in</w:t>
      </w:r>
      <w:r>
        <w:rPr>
          <w:rFonts w:ascii="Calibri" w:eastAsia="Calibri" w:hAnsi="Calibri" w:cs="Calibri"/>
        </w:rPr>
        <w:t>fl</w:t>
      </w:r>
      <w:r>
        <w:t>ammation at a growth plate increases metabolic activity and subsequent bone growth.</w:t>
      </w:r>
      <w:r>
        <w:rPr>
          <w:vertAlign w:val="superscript"/>
        </w:rPr>
        <w:t xml:space="preserve">1,6,7 </w:t>
      </w:r>
      <w:r>
        <w:t xml:space="preserve">Furthermore, research suggests JIA can have psychological implications which may be compounded by </w:t>
      </w:r>
      <w:proofErr w:type="spellStart"/>
      <w:r>
        <w:t>phys</w:t>
      </w:r>
      <w:proofErr w:type="spellEnd"/>
      <w:r>
        <w:t>-</w:t>
      </w:r>
    </w:p>
    <w:p w:rsidR="008947C3" w:rsidRDefault="0055791E">
      <w:pPr>
        <w:spacing w:after="54"/>
        <w:ind w:left="-5"/>
      </w:pPr>
      <w:proofErr w:type="spellStart"/>
      <w:r>
        <w:t>ical</w:t>
      </w:r>
      <w:proofErr w:type="spellEnd"/>
      <w:r>
        <w:t xml:space="preserve"> disability.</w:t>
      </w:r>
      <w:r>
        <w:rPr>
          <w:vertAlign w:val="superscript"/>
        </w:rPr>
        <w:t>8</w:t>
      </w:r>
    </w:p>
    <w:p w:rsidR="008947C3" w:rsidRDefault="0055791E">
      <w:pPr>
        <w:ind w:left="-15" w:firstLine="180"/>
      </w:pPr>
      <w:r>
        <w:t xml:space="preserve">JIA imparts a considerable </w:t>
      </w:r>
      <w:r>
        <w:rPr>
          <w:rFonts w:ascii="Calibri" w:eastAsia="Calibri" w:hAnsi="Calibri" w:cs="Calibri"/>
        </w:rPr>
        <w:t>fi</w:t>
      </w:r>
      <w:r>
        <w:t>nancial burden, particularly the subtypes with prolonged and multiple active joint disease.</w:t>
      </w:r>
      <w:r>
        <w:rPr>
          <w:vertAlign w:val="superscript"/>
        </w:rPr>
        <w:t xml:space="preserve">9,10 </w:t>
      </w:r>
      <w:r>
        <w:t>In 2013</w:t>
      </w:r>
      <w:r>
        <w:rPr>
          <w:rFonts w:ascii="Calibri" w:eastAsia="Calibri" w:hAnsi="Calibri" w:cs="Calibri"/>
        </w:rPr>
        <w:t>–</w:t>
      </w:r>
      <w:r>
        <w:t>2014 in Australia, $7.5 million was spent under the Pharmaceutical Bene</w:t>
      </w:r>
      <w:r>
        <w:rPr>
          <w:rFonts w:ascii="Calibri" w:eastAsia="Calibri" w:hAnsi="Calibri" w:cs="Calibri"/>
        </w:rPr>
        <w:t>fi</w:t>
      </w:r>
      <w:r>
        <w:t>ts Scheme on biological drug therapy for children with JIA.</w:t>
      </w:r>
      <w:r>
        <w:rPr>
          <w:vertAlign w:val="superscript"/>
        </w:rPr>
        <w:t xml:space="preserve">11 </w:t>
      </w:r>
      <w:r>
        <w:t xml:space="preserve">The cost of physical therapy for JIA is yet unknown. If allied health professionals (AHP) such as podiatrists and physiotherapists are able to assist in the early recognition and management of lower limb problems in JIA, this may reduce the physical, psychological and </w:t>
      </w:r>
      <w:r>
        <w:rPr>
          <w:rFonts w:ascii="Calibri" w:eastAsia="Calibri" w:hAnsi="Calibri" w:cs="Calibri"/>
        </w:rPr>
        <w:t>fi</w:t>
      </w:r>
      <w:r>
        <w:t>nancial burden of JIA. Early clinical intervention is the gold standard approach used in paediatric rheumatology.</w:t>
      </w:r>
      <w:r>
        <w:rPr>
          <w:vertAlign w:val="superscript"/>
        </w:rPr>
        <w:t xml:space="preserve">12 </w:t>
      </w:r>
      <w:r>
        <w:t>Pharmaceutical therapy including non-steroidal anti-in</w:t>
      </w:r>
      <w:r>
        <w:rPr>
          <w:rFonts w:ascii="Calibri" w:eastAsia="Calibri" w:hAnsi="Calibri" w:cs="Calibri"/>
        </w:rPr>
        <w:t>fl</w:t>
      </w:r>
      <w:r>
        <w:t>ammatory drugs, corticosteroid injections and biological drugs are the forefront of gold standard care in JIA.</w:t>
      </w:r>
      <w:r>
        <w:rPr>
          <w:vertAlign w:val="superscript"/>
        </w:rPr>
        <w:t xml:space="preserve">1 </w:t>
      </w:r>
      <w:r>
        <w:t xml:space="preserve">Emerging evidence on the non-invasive, physical and mechanical therapies in JIA, suggest that AHP also play an important role as part of this gold standard approach. This paper will focus on assisting AHP in attaining gold standard practice, by </w:t>
      </w:r>
      <w:r>
        <w:lastRenderedPageBreak/>
        <w:t xml:space="preserve">providing evidence-based summaries on the presentation of lower limb pathologies in JIA and the allied health therapies available. The review outlines the common problem of </w:t>
      </w:r>
      <w:r>
        <w:rPr>
          <w:rFonts w:ascii="Calibri" w:eastAsia="Calibri" w:hAnsi="Calibri" w:cs="Calibri"/>
        </w:rPr>
        <w:t>fl</w:t>
      </w:r>
      <w:r>
        <w:t>exion contractures, followed by hydrotherapy, and then details conditions speci</w:t>
      </w:r>
      <w:r>
        <w:rPr>
          <w:rFonts w:ascii="Calibri" w:eastAsia="Calibri" w:hAnsi="Calibri" w:cs="Calibri"/>
        </w:rPr>
        <w:t>fi</w:t>
      </w:r>
      <w:r>
        <w:t xml:space="preserve">c to the hip, knee, ankle, </w:t>
      </w:r>
      <w:proofErr w:type="spellStart"/>
      <w:r>
        <w:t>rearfoot</w:t>
      </w:r>
      <w:proofErr w:type="spellEnd"/>
      <w:r>
        <w:t xml:space="preserve"> and forefoot.</w:t>
      </w:r>
    </w:p>
    <w:tbl>
      <w:tblPr>
        <w:tblStyle w:val="TableGrid"/>
        <w:tblpPr w:vertAnchor="text" w:horzAnchor="margin"/>
        <w:tblOverlap w:val="never"/>
        <w:tblW w:w="9762" w:type="dxa"/>
        <w:tblInd w:w="0" w:type="dxa"/>
        <w:tblCellMar>
          <w:top w:w="13" w:type="dxa"/>
          <w:right w:w="3" w:type="dxa"/>
        </w:tblCellMar>
        <w:tblLook w:val="04A0" w:firstRow="1" w:lastRow="0" w:firstColumn="1" w:lastColumn="0" w:noHBand="0" w:noVBand="1"/>
      </w:tblPr>
      <w:tblGrid>
        <w:gridCol w:w="9762"/>
      </w:tblGrid>
      <w:tr w:rsidR="008947C3">
        <w:trPr>
          <w:trHeight w:val="159"/>
        </w:trPr>
        <w:tc>
          <w:tcPr>
            <w:tcW w:w="9760" w:type="dxa"/>
            <w:tcBorders>
              <w:top w:val="nil"/>
              <w:left w:val="nil"/>
              <w:bottom w:val="nil"/>
              <w:right w:val="nil"/>
            </w:tcBorders>
          </w:tcPr>
          <w:p w:rsidR="008947C3" w:rsidRDefault="0055791E">
            <w:pPr>
              <w:tabs>
                <w:tab w:val="right" w:pos="9760"/>
              </w:tabs>
              <w:spacing w:after="0" w:line="259" w:lineRule="auto"/>
              <w:ind w:left="0" w:firstLine="0"/>
              <w:jc w:val="left"/>
            </w:pPr>
            <w:r>
              <w:rPr>
                <w:rFonts w:ascii="Calibri" w:eastAsia="Calibri" w:hAnsi="Calibri" w:cs="Calibri"/>
                <w:sz w:val="15"/>
              </w:rPr>
              <w:t>Juvenile idiopathic arthritis</w:t>
            </w:r>
            <w:r>
              <w:rPr>
                <w:rFonts w:ascii="Calibri" w:eastAsia="Calibri" w:hAnsi="Calibri" w:cs="Calibri"/>
                <w:sz w:val="15"/>
              </w:rPr>
              <w:tab/>
              <w:t>A Fellas et al.</w:t>
            </w:r>
          </w:p>
        </w:tc>
      </w:tr>
    </w:tbl>
    <w:p w:rsidR="008947C3" w:rsidRDefault="0055791E">
      <w:pPr>
        <w:pStyle w:val="Heading2"/>
        <w:ind w:left="-5"/>
      </w:pPr>
      <w:r>
        <w:t>Flexion contractures</w:t>
      </w:r>
    </w:p>
    <w:p w:rsidR="008947C3" w:rsidRDefault="0055791E">
      <w:pPr>
        <w:spacing w:after="218"/>
        <w:ind w:left="-5"/>
      </w:pPr>
      <w:r>
        <w:t>Flexion contractures of the lower limb can arise when range of motion is limited over a period of time by pain or swelling.</w:t>
      </w:r>
      <w:r>
        <w:rPr>
          <w:vertAlign w:val="superscript"/>
        </w:rPr>
        <w:t xml:space="preserve">1,6 </w:t>
      </w:r>
      <w:r>
        <w:t xml:space="preserve">Hip and knee </w:t>
      </w:r>
      <w:r>
        <w:rPr>
          <w:rFonts w:ascii="Calibri" w:eastAsia="Calibri" w:hAnsi="Calibri" w:cs="Calibri"/>
        </w:rPr>
        <w:t>fl</w:t>
      </w:r>
      <w:r>
        <w:t xml:space="preserve">exion contractures are particularly common in children with the </w:t>
      </w:r>
      <w:proofErr w:type="spellStart"/>
      <w:r>
        <w:t>oligoarthritis</w:t>
      </w:r>
      <w:proofErr w:type="spellEnd"/>
      <w:r>
        <w:t xml:space="preserve"> subtype of JIA; a subtype commonly affecting the lower limb.</w:t>
      </w:r>
      <w:r>
        <w:rPr>
          <w:vertAlign w:val="superscript"/>
        </w:rPr>
        <w:t xml:space="preserve">1 </w:t>
      </w:r>
      <w:r>
        <w:t xml:space="preserve">Hip </w:t>
      </w:r>
      <w:r>
        <w:rPr>
          <w:rFonts w:ascii="Calibri" w:eastAsia="Calibri" w:hAnsi="Calibri" w:cs="Calibri"/>
        </w:rPr>
        <w:t>fl</w:t>
      </w:r>
      <w:r>
        <w:t>exion contractures cause increased lumbar lordosis which in gait presents with protruding abdomen and buttocks.</w:t>
      </w:r>
      <w:r>
        <w:rPr>
          <w:vertAlign w:val="superscript"/>
        </w:rPr>
        <w:t xml:space="preserve">13 </w:t>
      </w:r>
      <w:r>
        <w:t xml:space="preserve">One study with a single group design and a small sample suggested that static night traction may supplement physiotherapy to reduce knee </w:t>
      </w:r>
      <w:r>
        <w:rPr>
          <w:rFonts w:ascii="Calibri" w:eastAsia="Calibri" w:hAnsi="Calibri" w:cs="Calibri"/>
        </w:rPr>
        <w:t>fl</w:t>
      </w:r>
      <w:r>
        <w:t>exion contractures in children with JIA.</w:t>
      </w:r>
      <w:r>
        <w:rPr>
          <w:vertAlign w:val="superscript"/>
        </w:rPr>
        <w:t xml:space="preserve">14 </w:t>
      </w:r>
      <w:r>
        <w:t xml:space="preserve">Static night traction did not cause any harm for the participants. Shortening of the hamstring muscles may occur when the knee is </w:t>
      </w:r>
      <w:r>
        <w:rPr>
          <w:rFonts w:ascii="Calibri" w:eastAsia="Calibri" w:hAnsi="Calibri" w:cs="Calibri"/>
        </w:rPr>
        <w:t>fl</w:t>
      </w:r>
      <w:r>
        <w:t>exed for an extended period of time.</w:t>
      </w:r>
      <w:r>
        <w:rPr>
          <w:vertAlign w:val="superscript"/>
        </w:rPr>
        <w:t xml:space="preserve">14 </w:t>
      </w:r>
      <w:r>
        <w:t>In this case, static stretching may be of potential bene</w:t>
      </w:r>
      <w:r>
        <w:rPr>
          <w:rFonts w:ascii="Calibri" w:eastAsia="Calibri" w:hAnsi="Calibri" w:cs="Calibri"/>
        </w:rPr>
        <w:t>fi</w:t>
      </w:r>
      <w:r>
        <w:t>t, particularly when aiming to improve active range of motion,</w:t>
      </w:r>
      <w:r>
        <w:rPr>
          <w:vertAlign w:val="superscript"/>
        </w:rPr>
        <w:t xml:space="preserve">15 </w:t>
      </w:r>
      <w:r>
        <w:t>which is often more reduced than passive range of motion.</w:t>
      </w:r>
      <w:r>
        <w:rPr>
          <w:vertAlign w:val="superscript"/>
        </w:rPr>
        <w:t xml:space="preserve">14 </w:t>
      </w:r>
      <w:r>
        <w:t>Static stretches should be held for 15 s minimum, with three repetitions per set which can be performed up to 4 times per day.</w:t>
      </w:r>
      <w:r>
        <w:rPr>
          <w:vertAlign w:val="superscript"/>
        </w:rPr>
        <w:t xml:space="preserve">15 </w:t>
      </w:r>
      <w:r>
        <w:t xml:space="preserve">Further research is needed to investigate the effectiveness of non-invasive, physical and mechanical therapies for lower limb </w:t>
      </w:r>
      <w:r>
        <w:rPr>
          <w:rFonts w:ascii="Calibri" w:eastAsia="Calibri" w:hAnsi="Calibri" w:cs="Calibri"/>
        </w:rPr>
        <w:t>fl</w:t>
      </w:r>
      <w:r>
        <w:t>exion contractures in children with JIA, as well as their long-term implications on the body.</w:t>
      </w:r>
    </w:p>
    <w:p w:rsidR="008947C3" w:rsidRDefault="0055791E">
      <w:pPr>
        <w:pStyle w:val="Heading2"/>
        <w:ind w:left="-5"/>
      </w:pPr>
      <w:r>
        <w:t>Hydrotherapy</w:t>
      </w:r>
    </w:p>
    <w:p w:rsidR="008947C3" w:rsidRDefault="0055791E">
      <w:pPr>
        <w:spacing w:after="279"/>
        <w:ind w:left="-5"/>
      </w:pPr>
      <w:r>
        <w:t xml:space="preserve">Hydrotherapy is commonly recommended by AHP as part of a stretching programme to prevent or treat contractures and to develop strength. Hydrotherapy exercises for the hip may include </w:t>
      </w:r>
      <w:r>
        <w:rPr>
          <w:rFonts w:ascii="Calibri" w:eastAsia="Calibri" w:hAnsi="Calibri" w:cs="Calibri"/>
        </w:rPr>
        <w:t>fl</w:t>
      </w:r>
      <w:r>
        <w:t>exion, extension and abduction movements. Knee exercises may focus on walking or hopping through the water, as well as swimming or kicking with the legs. Lastly, ankle exercises, with focus on plantar and dorsi</w:t>
      </w:r>
      <w:r>
        <w:rPr>
          <w:rFonts w:ascii="Calibri" w:eastAsia="Calibri" w:hAnsi="Calibri" w:cs="Calibri"/>
        </w:rPr>
        <w:t>fl</w:t>
      </w:r>
      <w:r>
        <w:t>exion of the ankle, as well as inversion and eversion range of motion. Lower limb hydrotherapy exercises can be performed in hour long supervised sessions, two to three times a week. Each joint may be actively moved up to 30 times while allowing adequate rest breaks between joint exercises.</w:t>
      </w:r>
      <w:r>
        <w:rPr>
          <w:vertAlign w:val="superscript"/>
        </w:rPr>
        <w:t xml:space="preserve">16,17 </w:t>
      </w:r>
      <w:r>
        <w:t>Two randomised control trials have evaluated the effectiveness of hydrotherapy exercises in children with JIA.</w:t>
      </w:r>
      <w:r>
        <w:rPr>
          <w:vertAlign w:val="superscript"/>
        </w:rPr>
        <w:t xml:space="preserve">16,17 </w:t>
      </w:r>
      <w:r>
        <w:t>Although no statistical or clinical signi</w:t>
      </w:r>
      <w:r>
        <w:rPr>
          <w:rFonts w:ascii="Calibri" w:eastAsia="Calibri" w:hAnsi="Calibri" w:cs="Calibri"/>
        </w:rPr>
        <w:t>fi</w:t>
      </w:r>
      <w:r>
        <w:t>cance was reached in either study, hydrotherapy exercises were well tolerated and did not exacerbate pain symptoms.</w:t>
      </w:r>
      <w:r>
        <w:rPr>
          <w:vertAlign w:val="superscript"/>
        </w:rPr>
        <w:t>16,17</w:t>
      </w:r>
    </w:p>
    <w:p w:rsidR="008947C3" w:rsidRDefault="0055791E">
      <w:pPr>
        <w:pStyle w:val="Heading1"/>
        <w:ind w:left="-5"/>
      </w:pPr>
      <w:r>
        <w:t>Hip</w:t>
      </w:r>
    </w:p>
    <w:p w:rsidR="008947C3" w:rsidRDefault="0055791E">
      <w:pPr>
        <w:ind w:left="-5"/>
      </w:pPr>
      <w:r>
        <w:t>Hip disease develops in 30</w:t>
      </w:r>
      <w:r>
        <w:rPr>
          <w:rFonts w:ascii="Calibri" w:eastAsia="Calibri" w:hAnsi="Calibri" w:cs="Calibri"/>
        </w:rPr>
        <w:t>–</w:t>
      </w:r>
      <w:r>
        <w:t>50% of children with JIA and typically occurs within 6 years of the initial JIA diagnosis.</w:t>
      </w:r>
      <w:r>
        <w:rPr>
          <w:vertAlign w:val="superscript"/>
        </w:rPr>
        <w:t xml:space="preserve">18 </w:t>
      </w:r>
      <w:r>
        <w:t xml:space="preserve">Common clinical features of the hip pathology in JIA include pain which may radiate and limping. Pain and limping may indicate the presence of a </w:t>
      </w:r>
      <w:r>
        <w:rPr>
          <w:rFonts w:ascii="Calibri" w:eastAsia="Calibri" w:hAnsi="Calibri" w:cs="Calibri"/>
        </w:rPr>
        <w:t>fl</w:t>
      </w:r>
      <w:r>
        <w:t>exion contracture. Dif</w:t>
      </w:r>
      <w:r>
        <w:rPr>
          <w:rFonts w:ascii="Calibri" w:eastAsia="Calibri" w:hAnsi="Calibri" w:cs="Calibri"/>
        </w:rPr>
        <w:t>fi</w:t>
      </w:r>
      <w:r>
        <w:t>culty ambulating is particularly noticeable when ascending stairs or standing from a seated position.</w:t>
      </w:r>
      <w:r>
        <w:rPr>
          <w:vertAlign w:val="superscript"/>
        </w:rPr>
        <w:t xml:space="preserve">18,19 </w:t>
      </w:r>
      <w:r>
        <w:t>Medical imaging can assist AHP in diagnosing pathologies that are dif</w:t>
      </w:r>
      <w:r>
        <w:rPr>
          <w:rFonts w:ascii="Calibri" w:eastAsia="Calibri" w:hAnsi="Calibri" w:cs="Calibri"/>
        </w:rPr>
        <w:t>fi</w:t>
      </w:r>
      <w:r>
        <w:t>cult to detect clinically in the hip.</w:t>
      </w:r>
      <w:r>
        <w:rPr>
          <w:vertAlign w:val="superscript"/>
        </w:rPr>
        <w:t>19</w:t>
      </w:r>
      <w:r>
        <w:rPr>
          <w:rFonts w:ascii="Calibri" w:eastAsia="Calibri" w:hAnsi="Calibri" w:cs="Calibri"/>
          <w:vertAlign w:val="superscript"/>
        </w:rPr>
        <w:t>–</w:t>
      </w:r>
      <w:r>
        <w:rPr>
          <w:vertAlign w:val="superscript"/>
        </w:rPr>
        <w:t xml:space="preserve">22 </w:t>
      </w:r>
      <w:r>
        <w:t>Radiographs may reveal erosions, joint space narrowing and structural abnormalities.</w:t>
      </w:r>
      <w:r>
        <w:rPr>
          <w:vertAlign w:val="superscript"/>
        </w:rPr>
        <w:t xml:space="preserve">19 </w:t>
      </w:r>
      <w:r>
        <w:t xml:space="preserve">Ultrasound may detect synovitis, with one study </w:t>
      </w:r>
      <w:r>
        <w:rPr>
          <w:rFonts w:ascii="Calibri" w:eastAsia="Calibri" w:hAnsi="Calibri" w:cs="Calibri"/>
        </w:rPr>
        <w:t>fi</w:t>
      </w:r>
      <w:r>
        <w:t>nding synovitis present in approximately one-third (31.5%) of the hips in 92 JIA participants.</w:t>
      </w:r>
      <w:r>
        <w:rPr>
          <w:vertAlign w:val="superscript"/>
        </w:rPr>
        <w:t xml:space="preserve">20 </w:t>
      </w:r>
      <w:r>
        <w:t xml:space="preserve">Magnetic resonance imaging may detect </w:t>
      </w:r>
      <w:proofErr w:type="spellStart"/>
      <w:r>
        <w:t>sacroiliitis</w:t>
      </w:r>
      <w:proofErr w:type="spellEnd"/>
      <w:r>
        <w:t xml:space="preserve">, with one study </w:t>
      </w:r>
      <w:r>
        <w:rPr>
          <w:rFonts w:ascii="Calibri" w:eastAsia="Calibri" w:hAnsi="Calibri" w:cs="Calibri"/>
        </w:rPr>
        <w:t>fi</w:t>
      </w:r>
      <w:r>
        <w:t xml:space="preserve">nding that in a cohort of 59 children with the </w:t>
      </w:r>
      <w:proofErr w:type="spellStart"/>
      <w:r>
        <w:t>enthesitis</w:t>
      </w:r>
      <w:proofErr w:type="spellEnd"/>
      <w:r>
        <w:t>-related subtype of JIA, around one-third suffered from sacroiliitis.</w:t>
      </w:r>
      <w:r>
        <w:rPr>
          <w:vertAlign w:val="superscript"/>
        </w:rPr>
        <w:t>22</w:t>
      </w:r>
    </w:p>
    <w:p w:rsidR="008947C3" w:rsidRDefault="0055791E">
      <w:pPr>
        <w:spacing w:after="334"/>
        <w:ind w:left="-15" w:right="94" w:firstLine="180"/>
      </w:pPr>
      <w:r>
        <w:t>AHP may recommend hydrotherapy and muscle strengthening exercises to JIA patients with hip disease.</w:t>
      </w:r>
      <w:r>
        <w:rPr>
          <w:vertAlign w:val="superscript"/>
        </w:rPr>
        <w:t xml:space="preserve">16,17,23 </w:t>
      </w:r>
      <w:r>
        <w:t>One randomised control trial evaluated the effectiveness of a 12-week exercise programme in children with JIA.</w:t>
      </w:r>
      <w:r>
        <w:rPr>
          <w:vertAlign w:val="superscript"/>
        </w:rPr>
        <w:t xml:space="preserve">24 </w:t>
      </w:r>
      <w:r>
        <w:t>The exercises included rope skipping, muscle strengthening exercises for the core, hip and arms. The exercise programme was performed three times a week for 12 weeks. Results indicated improvements in leg muscle strength. The exercise programme was well tolerated and did not exacerbate pain levels.</w:t>
      </w:r>
      <w:r>
        <w:rPr>
          <w:vertAlign w:val="superscript"/>
        </w:rPr>
        <w:t>24</w:t>
      </w:r>
    </w:p>
    <w:p w:rsidR="008947C3" w:rsidRDefault="0055791E">
      <w:pPr>
        <w:pStyle w:val="Heading1"/>
        <w:ind w:left="-5"/>
      </w:pPr>
      <w:r>
        <w:t>Knee</w:t>
      </w:r>
    </w:p>
    <w:p w:rsidR="008947C3" w:rsidRDefault="0055791E">
      <w:pPr>
        <w:spacing w:after="30"/>
        <w:ind w:left="-5" w:right="94"/>
      </w:pPr>
      <w:r>
        <w:t>The knees are affected in 30</w:t>
      </w:r>
      <w:r>
        <w:rPr>
          <w:rFonts w:ascii="Calibri" w:eastAsia="Calibri" w:hAnsi="Calibri" w:cs="Calibri"/>
        </w:rPr>
        <w:t>–</w:t>
      </w:r>
      <w:r>
        <w:t xml:space="preserve">50% at the time of diagnosis in the </w:t>
      </w:r>
      <w:proofErr w:type="spellStart"/>
      <w:r>
        <w:t>oligoarthritis</w:t>
      </w:r>
      <w:proofErr w:type="spellEnd"/>
      <w:r>
        <w:t xml:space="preserve"> JIA subtype.</w:t>
      </w:r>
      <w:r>
        <w:rPr>
          <w:vertAlign w:val="superscript"/>
        </w:rPr>
        <w:t xml:space="preserve">1,4 </w:t>
      </w:r>
      <w:r>
        <w:t xml:space="preserve">Active arthritis in the knee often exhibits pain, swelling, tenderness and bursitis (especially the </w:t>
      </w:r>
      <w:proofErr w:type="spellStart"/>
      <w:r>
        <w:t>suprapatellar</w:t>
      </w:r>
      <w:proofErr w:type="spellEnd"/>
      <w:r>
        <w:t xml:space="preserve"> </w:t>
      </w:r>
      <w:proofErr w:type="spellStart"/>
      <w:r>
        <w:t>bursae</w:t>
      </w:r>
      <w:proofErr w:type="spellEnd"/>
      <w:r>
        <w:t>), with unilateral involvement. Knee involvement may cause quadriceps muscle atrophy of the symptomatic leg.</w:t>
      </w:r>
      <w:r>
        <w:rPr>
          <w:vertAlign w:val="superscript"/>
        </w:rPr>
        <w:t xml:space="preserve">13 </w:t>
      </w:r>
      <w:r>
        <w:t>AHP frequently encounter quadriceps weakness which directly impairs the overall physical activity in children with JIA.</w:t>
      </w:r>
      <w:r>
        <w:rPr>
          <w:vertAlign w:val="superscript"/>
        </w:rPr>
        <w:t xml:space="preserve">25 </w:t>
      </w:r>
      <w:r>
        <w:t>One randomised control, single-blinded trial found that less intensive physical training may be more appropriate in children with JIA and appears to provide equal physical bene</w:t>
      </w:r>
      <w:r>
        <w:rPr>
          <w:rFonts w:ascii="Calibri" w:eastAsia="Calibri" w:hAnsi="Calibri" w:cs="Calibri"/>
        </w:rPr>
        <w:t>fi</w:t>
      </w:r>
      <w:r>
        <w:t>ts compared to more demanding training programmes.</w:t>
      </w:r>
      <w:r>
        <w:rPr>
          <w:vertAlign w:val="superscript"/>
        </w:rPr>
        <w:t>26</w:t>
      </w:r>
    </w:p>
    <w:p w:rsidR="008947C3" w:rsidRDefault="0055791E">
      <w:pPr>
        <w:spacing w:after="332"/>
        <w:ind w:left="-15" w:right="94" w:firstLine="180"/>
      </w:pPr>
      <w:r>
        <w:t>A recent randomised control trial evaluated the effectiveness of muscle strengthening versus proprioceptive exercises for the lower extremity in children with JIA.</w:t>
      </w:r>
      <w:r>
        <w:rPr>
          <w:vertAlign w:val="superscript"/>
        </w:rPr>
        <w:t xml:space="preserve">23 </w:t>
      </w:r>
      <w:r>
        <w:t>Statistical signi</w:t>
      </w:r>
      <w:r>
        <w:rPr>
          <w:rFonts w:ascii="Calibri" w:eastAsia="Calibri" w:hAnsi="Calibri" w:cs="Calibri"/>
        </w:rPr>
        <w:t>fi</w:t>
      </w:r>
      <w:r>
        <w:t>cance was reached in pain, muscle strength and postural balance control.</w:t>
      </w:r>
      <w:r>
        <w:rPr>
          <w:vertAlign w:val="superscript"/>
        </w:rPr>
        <w:t xml:space="preserve">23 </w:t>
      </w:r>
      <w:r>
        <w:t xml:space="preserve">The study strengthened the quadriceps </w:t>
      </w:r>
      <w:proofErr w:type="spellStart"/>
      <w:r>
        <w:t>femoris</w:t>
      </w:r>
      <w:proofErr w:type="spellEnd"/>
      <w:r>
        <w:t xml:space="preserve"> muscles, by prescribing isometric knee extensor exercises followed by active range of motion exercises.</w:t>
      </w:r>
      <w:r>
        <w:rPr>
          <w:vertAlign w:val="superscript"/>
        </w:rPr>
        <w:t xml:space="preserve">23 </w:t>
      </w:r>
      <w:r>
        <w:t>For isometric knee extensor exercises, a towel was placed between fully extended knees and the quadriceps were contracted 8</w:t>
      </w:r>
      <w:r>
        <w:rPr>
          <w:rFonts w:ascii="Calibri" w:eastAsia="Calibri" w:hAnsi="Calibri" w:cs="Calibri"/>
        </w:rPr>
        <w:t>–</w:t>
      </w:r>
      <w:r>
        <w:t xml:space="preserve">10 times. Active range of motion exercises included straightening the knee from a </w:t>
      </w:r>
      <w:r>
        <w:rPr>
          <w:rFonts w:ascii="Calibri" w:eastAsia="Calibri" w:hAnsi="Calibri" w:cs="Calibri"/>
        </w:rPr>
        <w:t>fl</w:t>
      </w:r>
      <w:r>
        <w:t>exed position 8</w:t>
      </w:r>
      <w:r>
        <w:rPr>
          <w:rFonts w:ascii="Calibri" w:eastAsia="Calibri" w:hAnsi="Calibri" w:cs="Calibri"/>
        </w:rPr>
        <w:t>–</w:t>
      </w:r>
      <w:r>
        <w:t>10 times, with weight (small sandbags) secured distally on the ankle.</w:t>
      </w:r>
      <w:r>
        <w:rPr>
          <w:vertAlign w:val="superscript"/>
        </w:rPr>
        <w:t xml:space="preserve">23 </w:t>
      </w:r>
      <w:r>
        <w:t>The exercise programme gradually increased repetitions from 8</w:t>
      </w:r>
      <w:r>
        <w:rPr>
          <w:rFonts w:ascii="Calibri" w:eastAsia="Calibri" w:hAnsi="Calibri" w:cs="Calibri"/>
        </w:rPr>
        <w:t>–</w:t>
      </w:r>
      <w:r>
        <w:t>10 to 10</w:t>
      </w:r>
      <w:r>
        <w:rPr>
          <w:rFonts w:ascii="Calibri" w:eastAsia="Calibri" w:hAnsi="Calibri" w:cs="Calibri"/>
        </w:rPr>
        <w:t>–</w:t>
      </w:r>
      <w:r>
        <w:t>15 times, with one set completed each day for 12 weeks. Lastly, AHP may use massage therapy in conjunction with the previously mentioned physical therapies, which may reduce swelling and joint stiffness.</w:t>
      </w:r>
      <w:r>
        <w:rPr>
          <w:vertAlign w:val="superscript"/>
        </w:rPr>
        <w:t>27</w:t>
      </w:r>
    </w:p>
    <w:p w:rsidR="008947C3" w:rsidRDefault="0055791E">
      <w:pPr>
        <w:pStyle w:val="Heading1"/>
        <w:ind w:left="-5"/>
      </w:pPr>
      <w:r>
        <w:t>Foot and Ankle</w:t>
      </w:r>
    </w:p>
    <w:p w:rsidR="008947C3" w:rsidRDefault="0055791E">
      <w:pPr>
        <w:ind w:left="-5" w:right="94"/>
      </w:pPr>
      <w:r>
        <w:t>Foot and ankle problems are an often diagnosed but undermanaged manifestation of JIA.</w:t>
      </w:r>
      <w:r>
        <w:rPr>
          <w:vertAlign w:val="superscript"/>
        </w:rPr>
        <w:t xml:space="preserve">28 </w:t>
      </w:r>
      <w:r>
        <w:t>One study reviewed the evidence and found that across all subtypes, in</w:t>
      </w:r>
      <w:r>
        <w:rPr>
          <w:rFonts w:ascii="Calibri" w:eastAsia="Calibri" w:hAnsi="Calibri" w:cs="Calibri"/>
        </w:rPr>
        <w:t>fl</w:t>
      </w:r>
      <w:r>
        <w:t>ammation was present in the ankle of approximately half the cases (51</w:t>
      </w:r>
      <w:r>
        <w:rPr>
          <w:rFonts w:ascii="Calibri" w:eastAsia="Calibri" w:hAnsi="Calibri" w:cs="Calibri"/>
        </w:rPr>
        <w:t>–</w:t>
      </w:r>
      <w:r>
        <w:t>59%); the subtalar joint in 1</w:t>
      </w:r>
      <w:r>
        <w:rPr>
          <w:rFonts w:ascii="Calibri" w:eastAsia="Calibri" w:hAnsi="Calibri" w:cs="Calibri"/>
        </w:rPr>
        <w:t>–</w:t>
      </w:r>
      <w:r>
        <w:t>13% of cases; and the metatarsophalangeal joint in 49</w:t>
      </w:r>
      <w:r>
        <w:rPr>
          <w:rFonts w:ascii="Calibri" w:eastAsia="Calibri" w:hAnsi="Calibri" w:cs="Calibri"/>
        </w:rPr>
        <w:t>–</w:t>
      </w:r>
      <w:r>
        <w:t>68% of cases.</w:t>
      </w:r>
      <w:r>
        <w:rPr>
          <w:vertAlign w:val="superscript"/>
        </w:rPr>
        <w:t xml:space="preserve">29 </w:t>
      </w:r>
      <w:r>
        <w:t>Where possible a diagnosis should be speci</w:t>
      </w:r>
      <w:r>
        <w:rPr>
          <w:rFonts w:ascii="Calibri" w:eastAsia="Calibri" w:hAnsi="Calibri" w:cs="Calibri"/>
        </w:rPr>
        <w:t>fi</w:t>
      </w:r>
      <w:r>
        <w:t xml:space="preserve">c to the anatomical structure involved (e.g. </w:t>
      </w:r>
      <w:proofErr w:type="spellStart"/>
      <w:r>
        <w:t>tibialis</w:t>
      </w:r>
      <w:proofErr w:type="spellEnd"/>
      <w:r>
        <w:t xml:space="preserve"> posterior tenosynovitis). This allows mechanical therapies to assist the speci</w:t>
      </w:r>
      <w:r>
        <w:rPr>
          <w:rFonts w:ascii="Calibri" w:eastAsia="Calibri" w:hAnsi="Calibri" w:cs="Calibri"/>
        </w:rPr>
        <w:t>fi</w:t>
      </w:r>
      <w:r>
        <w:t>c function of the symptomatic structure.</w:t>
      </w:r>
    </w:p>
    <w:p w:rsidR="008947C3" w:rsidRDefault="0055791E">
      <w:pPr>
        <w:ind w:left="-15" w:right="95" w:firstLine="180"/>
      </w:pPr>
      <w:r>
        <w:t>As JIA is a diagnosis of exclusion,</w:t>
      </w:r>
      <w:r>
        <w:rPr>
          <w:vertAlign w:val="superscript"/>
        </w:rPr>
        <w:t xml:space="preserve">30 </w:t>
      </w:r>
      <w:r>
        <w:t>assessing the foot and ankle for differential diagnoses unrelated to JIA is important in the diagnostic process. Differential diagnoses include acute musculoskeletal injury, infection, transient synovitis, bone tumour and other systemic rheumatologic diseases.</w:t>
      </w:r>
      <w:r>
        <w:rPr>
          <w:vertAlign w:val="superscript"/>
        </w:rPr>
        <w:t xml:space="preserve">30 </w:t>
      </w:r>
      <w:r>
        <w:t>AHP may use diagnostic ultrasound in combination with clinical examination to detect and diagnose speci</w:t>
      </w:r>
      <w:r>
        <w:rPr>
          <w:rFonts w:ascii="Calibri" w:eastAsia="Calibri" w:hAnsi="Calibri" w:cs="Calibri"/>
        </w:rPr>
        <w:t>fi</w:t>
      </w:r>
      <w:r>
        <w:t>c foot and ankle pathologies in children with JIA.</w:t>
      </w:r>
      <w:r>
        <w:rPr>
          <w:vertAlign w:val="superscript"/>
        </w:rPr>
        <w:t>31,32</w:t>
      </w:r>
    </w:p>
    <w:p w:rsidR="008947C3" w:rsidRDefault="008947C3">
      <w:pPr>
        <w:sectPr w:rsidR="008947C3">
          <w:type w:val="continuous"/>
          <w:pgSz w:w="11906" w:h="15591"/>
          <w:pgMar w:top="54" w:right="1024" w:bottom="1157" w:left="1025" w:header="720" w:footer="720" w:gutter="0"/>
          <w:cols w:num="2" w:space="484"/>
        </w:sectPr>
      </w:pPr>
    </w:p>
    <w:p w:rsidR="008947C3" w:rsidRDefault="008947C3">
      <w:pPr>
        <w:sectPr w:rsidR="008947C3">
          <w:type w:val="continuous"/>
          <w:pgSz w:w="11906" w:h="15591"/>
          <w:pgMar w:top="930" w:right="1027" w:bottom="473" w:left="1025" w:header="720" w:footer="720" w:gutter="0"/>
          <w:cols w:space="720"/>
        </w:sectPr>
      </w:pPr>
    </w:p>
    <w:p w:rsidR="00C74C74" w:rsidRDefault="00C74C74">
      <w:pPr>
        <w:spacing w:after="160" w:line="259" w:lineRule="auto"/>
        <w:ind w:left="0" w:firstLine="0"/>
        <w:jc w:val="left"/>
      </w:pPr>
      <w:r>
        <w:br w:type="page"/>
      </w:r>
    </w:p>
    <w:p w:rsidR="008947C3" w:rsidRDefault="0055791E">
      <w:pPr>
        <w:spacing w:after="30"/>
        <w:ind w:left="95" w:firstLine="180"/>
      </w:pPr>
      <w:r>
        <w:lastRenderedPageBreak/>
        <w:t>In JIA small outpunching of synovium and tenosynovitis may be appreciable around the ankle.</w:t>
      </w:r>
      <w:r>
        <w:rPr>
          <w:vertAlign w:val="superscript"/>
        </w:rPr>
        <w:t xml:space="preserve">33,34 </w:t>
      </w:r>
      <w:r>
        <w:t>Tenosynovitis is in</w:t>
      </w:r>
      <w:r>
        <w:rPr>
          <w:rFonts w:ascii="Calibri" w:eastAsia="Calibri" w:hAnsi="Calibri" w:cs="Calibri"/>
        </w:rPr>
        <w:t>fl</w:t>
      </w:r>
      <w:r>
        <w:t xml:space="preserve">ammation of the lining of the sheath that surrounds a tendon. Common tendons affected by tenosynovitis include extensor tendons, peroneal tendons and </w:t>
      </w:r>
      <w:proofErr w:type="spellStart"/>
      <w:r>
        <w:t>tibialis</w:t>
      </w:r>
      <w:proofErr w:type="spellEnd"/>
      <w:r>
        <w:t xml:space="preserve"> posterior tendon.</w:t>
      </w:r>
      <w:r>
        <w:rPr>
          <w:vertAlign w:val="superscript"/>
        </w:rPr>
        <w:t xml:space="preserve">33 </w:t>
      </w:r>
      <w:r>
        <w:t xml:space="preserve">Pain on palpation of the insertion of the Achilles tendon indicates </w:t>
      </w:r>
      <w:proofErr w:type="spellStart"/>
      <w:r>
        <w:t>enthesitis</w:t>
      </w:r>
      <w:proofErr w:type="spellEnd"/>
      <w:r>
        <w:t xml:space="preserve">, a common clinical feature of the </w:t>
      </w:r>
      <w:proofErr w:type="spellStart"/>
      <w:r>
        <w:t>enthesitis</w:t>
      </w:r>
      <w:proofErr w:type="spellEnd"/>
      <w:r>
        <w:t>-related subtype of JIA.</w:t>
      </w:r>
      <w:r>
        <w:rPr>
          <w:vertAlign w:val="superscript"/>
        </w:rPr>
        <w:t xml:space="preserve">1,13 </w:t>
      </w:r>
      <w:r>
        <w:t xml:space="preserve">Diagnostic ultrasound has detected </w:t>
      </w:r>
      <w:proofErr w:type="spellStart"/>
      <w:r>
        <w:t>enthesitis</w:t>
      </w:r>
      <w:proofErr w:type="spellEnd"/>
      <w:r>
        <w:t xml:space="preserve"> at the Achilles tendon in 45% of children with JIA.</w:t>
      </w:r>
      <w:r>
        <w:rPr>
          <w:vertAlign w:val="superscript"/>
        </w:rPr>
        <w:t xml:space="preserve">35 </w:t>
      </w:r>
      <w:r>
        <w:t>To avoid the complications of foot and ankle tenosynovitis/tendonitis/</w:t>
      </w:r>
      <w:proofErr w:type="spellStart"/>
      <w:r>
        <w:t>enthesitis</w:t>
      </w:r>
      <w:proofErr w:type="spellEnd"/>
      <w:r>
        <w:t xml:space="preserve"> such as tendon rupture or joint stiffness, AHP may use adjustable braces or splints to of</w:t>
      </w:r>
      <w:r>
        <w:rPr>
          <w:rFonts w:ascii="Calibri" w:eastAsia="Calibri" w:hAnsi="Calibri" w:cs="Calibri"/>
        </w:rPr>
        <w:t>fl</w:t>
      </w:r>
      <w:r>
        <w:t>oad the tendon.</w:t>
      </w:r>
      <w:r>
        <w:rPr>
          <w:vertAlign w:val="superscript"/>
        </w:rPr>
        <w:t xml:space="preserve">36 </w:t>
      </w:r>
      <w:r>
        <w:t>In mechanical therapy, of</w:t>
      </w:r>
      <w:r>
        <w:rPr>
          <w:rFonts w:ascii="Calibri" w:eastAsia="Calibri" w:hAnsi="Calibri" w:cs="Calibri"/>
        </w:rPr>
        <w:t>fl</w:t>
      </w:r>
      <w:r>
        <w:t>oading refers to reducing the mechanical stress on a structure.</w:t>
      </w:r>
      <w:r>
        <w:rPr>
          <w:vertAlign w:val="superscript"/>
        </w:rPr>
        <w:t xml:space="preserve">37 </w:t>
      </w:r>
      <w:r>
        <w:t>Sports taping can also be used to decrease the physical load on the tendon.</w:t>
      </w:r>
      <w:r>
        <w:rPr>
          <w:vertAlign w:val="superscript"/>
        </w:rPr>
        <w:t xml:space="preserve">38 </w:t>
      </w:r>
      <w:r>
        <w:t>Holding calf stretches for a minimum of 30 s and repeated three times per side may help improve ankle dorsi</w:t>
      </w:r>
      <w:r>
        <w:rPr>
          <w:rFonts w:ascii="Calibri" w:eastAsia="Calibri" w:hAnsi="Calibri" w:cs="Calibri"/>
        </w:rPr>
        <w:t>fl</w:t>
      </w:r>
      <w:r>
        <w:t>exion range of motion.</w:t>
      </w:r>
      <w:r>
        <w:rPr>
          <w:vertAlign w:val="superscript"/>
        </w:rPr>
        <w:t xml:space="preserve">38 </w:t>
      </w:r>
      <w:r>
        <w:t>This can be performed up to three times a day. Lastly, eccentric calf muscle strengthening has shown to be effective in adults with chronic Achilles tendinosis.</w:t>
      </w:r>
      <w:r>
        <w:rPr>
          <w:vertAlign w:val="superscript"/>
        </w:rPr>
        <w:t xml:space="preserve">39 </w:t>
      </w:r>
      <w:r>
        <w:t>In order to strengthen the Achilles tendon, both heels are lowered (eccentric contraction) off a step, and then raised (concentric contraction) with the non-injured side only. This is repeated 15 times with three sets and can be performed twice daily over a 12-week period. A backpack may be added later to help increase the load during the strengthening exercises.</w:t>
      </w:r>
      <w:r>
        <w:rPr>
          <w:vertAlign w:val="superscript"/>
        </w:rPr>
        <w:t>39</w:t>
      </w:r>
    </w:p>
    <w:p w:rsidR="008947C3" w:rsidRDefault="0055791E">
      <w:pPr>
        <w:spacing w:after="297"/>
        <w:ind w:left="95" w:firstLine="180"/>
      </w:pPr>
      <w:r>
        <w:t>AHP may employ non-invasive interventions to reduce foot and ankle in</w:t>
      </w:r>
      <w:r>
        <w:rPr>
          <w:rFonts w:ascii="Calibri" w:eastAsia="Calibri" w:hAnsi="Calibri" w:cs="Calibri"/>
        </w:rPr>
        <w:t>fl</w:t>
      </w:r>
      <w:r>
        <w:t>ammation, pain and maintain normal joint function. Custom or pre-fabricated foot orthoses in children with JIA have shown to reduce pain and improve quality of life after 3 and 6 months.</w:t>
      </w:r>
      <w:r>
        <w:rPr>
          <w:vertAlign w:val="superscript"/>
        </w:rPr>
        <w:t xml:space="preserve">40,41 </w:t>
      </w:r>
      <w:r>
        <w:t>In addition to orthoses, suitable footwear can provide support and cushioning to help manage foot problems in JIA.</w:t>
      </w:r>
      <w:r>
        <w:rPr>
          <w:vertAlign w:val="superscript"/>
        </w:rPr>
        <w:t xml:space="preserve">41 </w:t>
      </w:r>
      <w:r>
        <w:t xml:space="preserve">Footwear should be cushioning and shock-absorbent. Shoes should have a </w:t>
      </w:r>
      <w:r>
        <w:rPr>
          <w:rFonts w:ascii="Calibri" w:eastAsia="Calibri" w:hAnsi="Calibri" w:cs="Calibri"/>
        </w:rPr>
        <w:t>fi</w:t>
      </w:r>
      <w:r>
        <w:t xml:space="preserve">rm heel counter and shank, and </w:t>
      </w:r>
      <w:r>
        <w:rPr>
          <w:rFonts w:ascii="Calibri" w:eastAsia="Calibri" w:hAnsi="Calibri" w:cs="Calibri"/>
        </w:rPr>
        <w:t>fl</w:t>
      </w:r>
      <w:r>
        <w:t xml:space="preserve">ex through the forefoot, where the foot would </w:t>
      </w:r>
      <w:r>
        <w:rPr>
          <w:rFonts w:ascii="Calibri" w:eastAsia="Calibri" w:hAnsi="Calibri" w:cs="Calibri"/>
        </w:rPr>
        <w:t>fl</w:t>
      </w:r>
      <w:r>
        <w:t xml:space="preserve">ex. Footwear should be secured with laces or at least two Velcro straps, and should be at least 1 cm longer than the longest toe when standing and deep enough to </w:t>
      </w:r>
      <w:r>
        <w:rPr>
          <w:rFonts w:ascii="Calibri" w:eastAsia="Calibri" w:hAnsi="Calibri" w:cs="Calibri"/>
        </w:rPr>
        <w:t>fi</w:t>
      </w:r>
      <w:r>
        <w:t>t orthoses and allow dorsi</w:t>
      </w:r>
      <w:r>
        <w:rPr>
          <w:rFonts w:ascii="Calibri" w:eastAsia="Calibri" w:hAnsi="Calibri" w:cs="Calibri"/>
        </w:rPr>
        <w:t>fl</w:t>
      </w:r>
      <w:r>
        <w:t>exion of the toes. Gentle massage of the foot and ankle (including calf musculature) may also provide relief for children with JIA.</w:t>
      </w:r>
      <w:r>
        <w:rPr>
          <w:vertAlign w:val="superscript"/>
        </w:rPr>
        <w:t xml:space="preserve">27 </w:t>
      </w:r>
      <w:r>
        <w:t>Massage techniques can be taught to parents to perform for the child before bedtime each day.</w:t>
      </w:r>
    </w:p>
    <w:p w:rsidR="008947C3" w:rsidRDefault="0055791E">
      <w:pPr>
        <w:pStyle w:val="Heading2"/>
        <w:ind w:left="105"/>
      </w:pPr>
      <w:proofErr w:type="spellStart"/>
      <w:r>
        <w:t>Rearfoot</w:t>
      </w:r>
      <w:proofErr w:type="spellEnd"/>
      <w:r>
        <w:t xml:space="preserve"> and </w:t>
      </w:r>
      <w:proofErr w:type="spellStart"/>
      <w:r>
        <w:t>midfoot</w:t>
      </w:r>
      <w:proofErr w:type="spellEnd"/>
    </w:p>
    <w:p w:rsidR="008947C3" w:rsidRDefault="0055791E">
      <w:pPr>
        <w:spacing w:after="32"/>
      </w:pPr>
      <w:r>
        <w:t xml:space="preserve">Approximately 40% of children with JIA across all seven subtypes have ankle and </w:t>
      </w:r>
      <w:proofErr w:type="spellStart"/>
      <w:r>
        <w:t>rearfoot</w:t>
      </w:r>
      <w:proofErr w:type="spellEnd"/>
      <w:r>
        <w:t xml:space="preserve"> joint synovitis, with prevalence even higher in the systemic subtype of JIA (81%).</w:t>
      </w:r>
      <w:r>
        <w:rPr>
          <w:vertAlign w:val="superscript"/>
        </w:rPr>
        <w:t xml:space="preserve">42,43 </w:t>
      </w:r>
      <w:r>
        <w:t xml:space="preserve">Similarly to the Achilles tendon described earlier, </w:t>
      </w:r>
      <w:proofErr w:type="spellStart"/>
      <w:r>
        <w:t>enthesitis</w:t>
      </w:r>
      <w:proofErr w:type="spellEnd"/>
      <w:r>
        <w:t xml:space="preserve"> of the plantar fascia may also be present in children with </w:t>
      </w:r>
      <w:proofErr w:type="spellStart"/>
      <w:r>
        <w:t>enthesitis</w:t>
      </w:r>
      <w:proofErr w:type="spellEnd"/>
      <w:r>
        <w:t>-related JIA.</w:t>
      </w:r>
      <w:r>
        <w:rPr>
          <w:vertAlign w:val="superscript"/>
        </w:rPr>
        <w:t xml:space="preserve">35 </w:t>
      </w:r>
      <w:r>
        <w:t>Evidence-based physical and mechanical therapies for plantar fascial pain in children with JIA have not been established; however, research has explored the ef</w:t>
      </w:r>
      <w:r>
        <w:rPr>
          <w:rFonts w:ascii="Calibri" w:eastAsia="Calibri" w:hAnsi="Calibri" w:cs="Calibri"/>
        </w:rPr>
        <w:t>fi</w:t>
      </w:r>
      <w:r>
        <w:t xml:space="preserve">cacy of </w:t>
      </w:r>
      <w:proofErr w:type="spellStart"/>
      <w:r>
        <w:t>noninvasive</w:t>
      </w:r>
      <w:proofErr w:type="spellEnd"/>
      <w:r>
        <w:t xml:space="preserve"> therapies in adults with plantar fasciitis. The following non-invasive therapies are considered to be safe, cost-effective and suitable for children with JIA. Pre-fabricated foot orthoses may be prescribed, which can be customised based on the patient</w:t>
      </w:r>
      <w:r>
        <w:rPr>
          <w:rFonts w:ascii="Calibri" w:eastAsia="Calibri" w:hAnsi="Calibri" w:cs="Calibri"/>
        </w:rPr>
        <w:t>’</w:t>
      </w:r>
      <w:r>
        <w:t>s biomechanical needs.</w:t>
      </w:r>
      <w:r>
        <w:rPr>
          <w:vertAlign w:val="superscript"/>
        </w:rPr>
        <w:t xml:space="preserve">44 </w:t>
      </w:r>
      <w:r>
        <w:t>For example, anti-</w:t>
      </w:r>
      <w:proofErr w:type="spellStart"/>
      <w:r>
        <w:t>pronatory</w:t>
      </w:r>
      <w:proofErr w:type="spellEnd"/>
      <w:r>
        <w:t xml:space="preserve"> wedge made with medium-to-high density ethylene-vinyl acetate can be secured to the rear plantar surface of the orthoses. </w:t>
      </w:r>
      <w:proofErr w:type="spellStart"/>
      <w:r>
        <w:t>Lowdye</w:t>
      </w:r>
      <w:proofErr w:type="spellEnd"/>
      <w:r>
        <w:t xml:space="preserve"> or plantar fascial non-elastic taping may be used to decrease the load of the plantar fascia and provide additional mechanical support.</w:t>
      </w:r>
      <w:r>
        <w:rPr>
          <w:vertAlign w:val="superscript"/>
        </w:rPr>
        <w:t xml:space="preserve">45 </w:t>
      </w:r>
      <w:r>
        <w:t xml:space="preserve">Plantar fascial taping is applied from the insertion of the plantar fascia (medial tubercle of calcaneus) and attached distally on the foot, just proximal to the metatarsophalangeal joints. In addition, plantar fascial stretches may be prescribed by AHP to help improve </w:t>
      </w:r>
      <w:r>
        <w:rPr>
          <w:rFonts w:ascii="Calibri" w:eastAsia="Calibri" w:hAnsi="Calibri" w:cs="Calibri"/>
        </w:rPr>
        <w:t>fl</w:t>
      </w:r>
      <w:r>
        <w:t>exibility and function of the plantar fascia.</w:t>
      </w:r>
      <w:r>
        <w:rPr>
          <w:vertAlign w:val="superscript"/>
        </w:rPr>
        <w:t xml:space="preserve">46 </w:t>
      </w:r>
      <w:r>
        <w:t xml:space="preserve">To stretch the plantar fascia, </w:t>
      </w:r>
      <w:proofErr w:type="spellStart"/>
      <w:r>
        <w:t>dorsi</w:t>
      </w:r>
      <w:r>
        <w:rPr>
          <w:rFonts w:ascii="Calibri" w:eastAsia="Calibri" w:hAnsi="Calibri" w:cs="Calibri"/>
        </w:rPr>
        <w:t>fl</w:t>
      </w:r>
      <w:r>
        <w:t>ex</w:t>
      </w:r>
      <w:proofErr w:type="spellEnd"/>
      <w:r>
        <w:t xml:space="preserve"> both the </w:t>
      </w:r>
      <w:r>
        <w:rPr>
          <w:rFonts w:ascii="Calibri" w:eastAsia="Calibri" w:hAnsi="Calibri" w:cs="Calibri"/>
        </w:rPr>
        <w:t>fi</w:t>
      </w:r>
      <w:r>
        <w:t>rst metatarsophalangeal and ankle joint. Hold the plantar fascial stretch for 10 s and repeat 10 times.</w:t>
      </w:r>
      <w:r>
        <w:rPr>
          <w:vertAlign w:val="superscript"/>
        </w:rPr>
        <w:t>46</w:t>
      </w:r>
    </w:p>
    <w:p w:rsidR="008947C3" w:rsidRDefault="0055791E">
      <w:pPr>
        <w:spacing w:after="294"/>
        <w:ind w:left="-15" w:firstLine="180"/>
      </w:pPr>
      <w:r>
        <w:t xml:space="preserve">Abnormal biomechanics of the foot have been associated with synovitis of ankle and </w:t>
      </w:r>
      <w:proofErr w:type="spellStart"/>
      <w:r>
        <w:t>rearfoot</w:t>
      </w:r>
      <w:proofErr w:type="spellEnd"/>
      <w:r>
        <w:t xml:space="preserve"> joints.</w:t>
      </w:r>
      <w:r>
        <w:rPr>
          <w:vertAlign w:val="superscript"/>
        </w:rPr>
        <w:t xml:space="preserve">42,43 </w:t>
      </w:r>
      <w:r>
        <w:t xml:space="preserve">Excessive pronation of the </w:t>
      </w:r>
      <w:proofErr w:type="spellStart"/>
      <w:r>
        <w:t>rearfoot</w:t>
      </w:r>
      <w:proofErr w:type="spellEnd"/>
      <w:r>
        <w:t xml:space="preserve"> and </w:t>
      </w:r>
      <w:proofErr w:type="spellStart"/>
      <w:r>
        <w:t>midfoot</w:t>
      </w:r>
      <w:proofErr w:type="spellEnd"/>
      <w:r>
        <w:t xml:space="preserve"> is a frequent </w:t>
      </w:r>
      <w:r>
        <w:rPr>
          <w:rFonts w:ascii="Calibri" w:eastAsia="Calibri" w:hAnsi="Calibri" w:cs="Calibri"/>
        </w:rPr>
        <w:t>fi</w:t>
      </w:r>
      <w:r>
        <w:t xml:space="preserve">nding in JIA patients, with one study reporting that approximately three-quarters of 144 patients with JIA affected by both </w:t>
      </w:r>
      <w:proofErr w:type="spellStart"/>
      <w:r>
        <w:t>rearfoot</w:t>
      </w:r>
      <w:proofErr w:type="spellEnd"/>
      <w:r>
        <w:t xml:space="preserve"> and </w:t>
      </w:r>
      <w:proofErr w:type="spellStart"/>
      <w:r>
        <w:t>midfoot</w:t>
      </w:r>
      <w:proofErr w:type="spellEnd"/>
      <w:r>
        <w:t xml:space="preserve"> excessive pronation (73 and 72%, respectively).</w:t>
      </w:r>
      <w:r>
        <w:rPr>
          <w:vertAlign w:val="superscript"/>
        </w:rPr>
        <w:t xml:space="preserve">47 </w:t>
      </w:r>
      <w:r>
        <w:t xml:space="preserve">Excessive pronation mostly occurs when synovitis stretches the capsule and ligaments of the subtalar joint and </w:t>
      </w:r>
      <w:proofErr w:type="spellStart"/>
      <w:r>
        <w:t>talonavicular</w:t>
      </w:r>
      <w:proofErr w:type="spellEnd"/>
      <w:r>
        <w:t xml:space="preserve"> joints and increases calcaneal pressure.</w:t>
      </w:r>
      <w:r>
        <w:rPr>
          <w:vertAlign w:val="superscript"/>
        </w:rPr>
        <w:t xml:space="preserve">30 </w:t>
      </w:r>
      <w:r>
        <w:t xml:space="preserve">If excessive </w:t>
      </w:r>
      <w:proofErr w:type="spellStart"/>
      <w:r>
        <w:t>rearfoot</w:t>
      </w:r>
      <w:proofErr w:type="spellEnd"/>
      <w:r>
        <w:t xml:space="preserve"> and/or </w:t>
      </w:r>
      <w:proofErr w:type="spellStart"/>
      <w:r>
        <w:t>midfoot</w:t>
      </w:r>
      <w:proofErr w:type="spellEnd"/>
      <w:r>
        <w:t xml:space="preserve"> pronation is identi</w:t>
      </w:r>
      <w:r>
        <w:rPr>
          <w:rFonts w:ascii="Calibri" w:eastAsia="Calibri" w:hAnsi="Calibri" w:cs="Calibri"/>
        </w:rPr>
        <w:t>fi</w:t>
      </w:r>
      <w:r>
        <w:t>ed in a child with JIA with or without a pes planus foot type, a custom or pre-fabricated foot orthoses may be of bene</w:t>
      </w:r>
      <w:r>
        <w:rPr>
          <w:rFonts w:ascii="Calibri" w:eastAsia="Calibri" w:hAnsi="Calibri" w:cs="Calibri"/>
        </w:rPr>
        <w:t>fi</w:t>
      </w:r>
      <w:r>
        <w:t>t.</w:t>
      </w:r>
      <w:r>
        <w:rPr>
          <w:vertAlign w:val="superscript"/>
        </w:rPr>
        <w:t xml:space="preserve">40,41 </w:t>
      </w:r>
      <w:r>
        <w:t>Footwear should comfortably accommodate the orthoses while providing additional stability, plantar pressure distribution and cushioning as previously described.</w:t>
      </w:r>
    </w:p>
    <w:p w:rsidR="008947C3" w:rsidRDefault="0055791E">
      <w:pPr>
        <w:pStyle w:val="Heading2"/>
        <w:ind w:left="-5"/>
      </w:pPr>
      <w:r>
        <w:t>Forefoot</w:t>
      </w:r>
    </w:p>
    <w:p w:rsidR="008947C3" w:rsidRDefault="0055791E">
      <w:pPr>
        <w:ind w:left="-5"/>
      </w:pPr>
      <w:r>
        <w:t xml:space="preserve">When active arthritis is present, the forefoot may withstand deforming biomechanical forces that can be translated to the </w:t>
      </w:r>
      <w:proofErr w:type="spellStart"/>
      <w:r>
        <w:t>rearfoot</w:t>
      </w:r>
      <w:proofErr w:type="spellEnd"/>
      <w:r>
        <w:t>, ankle and more proximally in the lower limb. Interphalangeal joints may also become dislocated.</w:t>
      </w:r>
      <w:r>
        <w:rPr>
          <w:vertAlign w:val="superscript"/>
        </w:rPr>
        <w:t xml:space="preserve">48 </w:t>
      </w:r>
      <w:r>
        <w:t xml:space="preserve">Pain and swelling may lead to muscle contractions and </w:t>
      </w:r>
      <w:r>
        <w:rPr>
          <w:rFonts w:ascii="Calibri" w:eastAsia="Calibri" w:hAnsi="Calibri" w:cs="Calibri"/>
        </w:rPr>
        <w:t>fl</w:t>
      </w:r>
      <w:r>
        <w:t>exion deformities, which could progress to hallux valgus or rigidus.</w:t>
      </w:r>
      <w:r>
        <w:rPr>
          <w:vertAlign w:val="superscript"/>
        </w:rPr>
        <w:t xml:space="preserve">30,48 </w:t>
      </w:r>
      <w:proofErr w:type="spellStart"/>
      <w:r>
        <w:t>Dactylitis</w:t>
      </w:r>
      <w:proofErr w:type="spellEnd"/>
      <w:r>
        <w:t xml:space="preserve"> (in</w:t>
      </w:r>
      <w:r>
        <w:rPr>
          <w:rFonts w:ascii="Calibri" w:eastAsia="Calibri" w:hAnsi="Calibri" w:cs="Calibri"/>
        </w:rPr>
        <w:t>fl</w:t>
      </w:r>
      <w:r>
        <w:t>ammation of a digit) is a diagnostic feature of the psoriatic arthritis subtype of JIA, and therefore, it is not likely to be seen in the other JIA subtypes.</w:t>
      </w:r>
      <w:r>
        <w:rPr>
          <w:vertAlign w:val="superscript"/>
        </w:rPr>
        <w:t xml:space="preserve">1 </w:t>
      </w:r>
      <w:r>
        <w:t xml:space="preserve">Further research is needed to establish the prevalence of </w:t>
      </w:r>
      <w:proofErr w:type="spellStart"/>
      <w:r>
        <w:t>dactylitis</w:t>
      </w:r>
      <w:proofErr w:type="spellEnd"/>
      <w:r>
        <w:t>.</w:t>
      </w:r>
    </w:p>
    <w:p w:rsidR="008947C3" w:rsidRDefault="0055791E">
      <w:pPr>
        <w:spacing w:after="296"/>
        <w:ind w:left="-15" w:firstLine="180"/>
      </w:pPr>
      <w:r>
        <w:t>There is limited research on the treatment of speci</w:t>
      </w:r>
      <w:r>
        <w:rPr>
          <w:rFonts w:ascii="Calibri" w:eastAsia="Calibri" w:hAnsi="Calibri" w:cs="Calibri"/>
        </w:rPr>
        <w:t>fi</w:t>
      </w:r>
      <w:r>
        <w:t>c forefoot pathologies in JIA. Two randomised control trials evaluating the effectiveness of custom or customised foot orthoses in children with JIA found a reduction in pain and improvement of quality of life already after 3 months.</w:t>
      </w:r>
      <w:r>
        <w:rPr>
          <w:vertAlign w:val="superscript"/>
        </w:rPr>
        <w:t xml:space="preserve">40,41 </w:t>
      </w:r>
      <w:r>
        <w:t>AHP may also prescribe intrinsic foot muscle exercises to help manage digital deformities in JIA. Picking up small objects (i.e. marbles) with the toes and dropping them in a container may help activate and strengthen small but important stabilising muscles in the feet.</w:t>
      </w:r>
      <w:r>
        <w:rPr>
          <w:vertAlign w:val="superscript"/>
        </w:rPr>
        <w:t xml:space="preserve">49 </w:t>
      </w:r>
      <w:r>
        <w:t xml:space="preserve">Toe props and separators may reduce interdigital pressure to avoid unwanted skin lesion such as corns or callous. Lastly, footwear containing deep and wide toe boxes may help accommodate digital deformities such as hallux </w:t>
      </w:r>
      <w:proofErr w:type="spellStart"/>
      <w:r>
        <w:t>abducto</w:t>
      </w:r>
      <w:proofErr w:type="spellEnd"/>
      <w:r>
        <w:t xml:space="preserve"> valgus or clawed digits. Further research is needed to establish the prevalence of speci</w:t>
      </w:r>
      <w:r>
        <w:rPr>
          <w:rFonts w:ascii="Calibri" w:eastAsia="Calibri" w:hAnsi="Calibri" w:cs="Calibri"/>
        </w:rPr>
        <w:t>fi</w:t>
      </w:r>
      <w:r>
        <w:t>c forefoot pathologies.</w:t>
      </w:r>
    </w:p>
    <w:p w:rsidR="008947C3" w:rsidRDefault="0055791E">
      <w:pPr>
        <w:pStyle w:val="Heading1"/>
        <w:ind w:left="-5"/>
      </w:pPr>
      <w:r>
        <w:t>Conclusion</w:t>
      </w:r>
    </w:p>
    <w:tbl>
      <w:tblPr>
        <w:tblStyle w:val="TableGrid"/>
        <w:tblpPr w:vertAnchor="text" w:horzAnchor="margin" w:tblpY="806"/>
        <w:tblOverlap w:val="never"/>
        <w:tblW w:w="9762" w:type="dxa"/>
        <w:tblInd w:w="0" w:type="dxa"/>
        <w:tblCellMar>
          <w:top w:w="13" w:type="dxa"/>
          <w:right w:w="2" w:type="dxa"/>
        </w:tblCellMar>
        <w:tblLook w:val="04A0" w:firstRow="1" w:lastRow="0" w:firstColumn="1" w:lastColumn="0" w:noHBand="0" w:noVBand="1"/>
      </w:tblPr>
      <w:tblGrid>
        <w:gridCol w:w="9762"/>
      </w:tblGrid>
      <w:tr w:rsidR="008947C3">
        <w:trPr>
          <w:trHeight w:val="159"/>
        </w:trPr>
        <w:tc>
          <w:tcPr>
            <w:tcW w:w="9760" w:type="dxa"/>
            <w:tcBorders>
              <w:top w:val="nil"/>
              <w:left w:val="nil"/>
              <w:bottom w:val="nil"/>
              <w:right w:val="nil"/>
            </w:tcBorders>
          </w:tcPr>
          <w:p w:rsidR="008947C3" w:rsidRDefault="0055791E">
            <w:pPr>
              <w:tabs>
                <w:tab w:val="right" w:pos="9760"/>
              </w:tabs>
              <w:spacing w:after="0" w:line="259" w:lineRule="auto"/>
              <w:ind w:left="0" w:firstLine="0"/>
              <w:jc w:val="left"/>
            </w:pPr>
            <w:r>
              <w:rPr>
                <w:rFonts w:ascii="Calibri" w:eastAsia="Calibri" w:hAnsi="Calibri" w:cs="Calibri"/>
                <w:sz w:val="15"/>
              </w:rPr>
              <w:t>Juvenile idiopathic arthritis</w:t>
            </w:r>
            <w:r>
              <w:rPr>
                <w:rFonts w:ascii="Calibri" w:eastAsia="Calibri" w:hAnsi="Calibri" w:cs="Calibri"/>
                <w:sz w:val="15"/>
              </w:rPr>
              <w:tab/>
              <w:t>A Fellas et al.</w:t>
            </w:r>
          </w:p>
        </w:tc>
      </w:tr>
    </w:tbl>
    <w:p w:rsidR="008947C3" w:rsidRDefault="0055791E">
      <w:pPr>
        <w:spacing w:after="336"/>
        <w:ind w:left="-5"/>
      </w:pPr>
      <w:r>
        <w:t>Careful physical examination is crucial for speci</w:t>
      </w:r>
      <w:r>
        <w:rPr>
          <w:rFonts w:ascii="Calibri" w:eastAsia="Calibri" w:hAnsi="Calibri" w:cs="Calibri"/>
        </w:rPr>
        <w:t>fi</w:t>
      </w:r>
      <w:r>
        <w:t>c and accurate diagnosis in JIA. Gold standard care in JIA involves a combination of pharmaceutical, mechanical and physical therapies. Currently there is a paucity of research evidence to inform the use of many mechanical and physical therapies for the broad range of lower limb problems in JIA. Priorities for research include assessing the long-term outcomes of common lower limb problems in JIA and rigorously testing available treatment options in randomised controlled trials. Awareness of the range of lower limb pathologies occurring in JIA and their treatments will enable AHP to detect and effectively treat these pathologies at early stage. This may help improve the overall prognosis and achieve gold standard practice in this complex multidisciplinary area of paediatric rheumatology.</w:t>
      </w:r>
    </w:p>
    <w:p w:rsidR="008947C3" w:rsidRDefault="0055791E">
      <w:pPr>
        <w:pStyle w:val="Heading1"/>
        <w:ind w:left="-5"/>
      </w:pPr>
      <w:r>
        <w:t>Multiple Choice Questions</w:t>
      </w:r>
    </w:p>
    <w:p w:rsidR="008947C3" w:rsidRDefault="0055791E">
      <w:pPr>
        <w:ind w:left="153" w:hanging="168"/>
      </w:pPr>
      <w:r>
        <w:t xml:space="preserve">1 In which of the following International League of Associations for Rheumatology criteria JIA subtypes are hip and knee </w:t>
      </w:r>
      <w:r>
        <w:rPr>
          <w:rFonts w:ascii="Calibri" w:eastAsia="Calibri" w:hAnsi="Calibri" w:cs="Calibri"/>
        </w:rPr>
        <w:t>fl</w:t>
      </w:r>
      <w:r>
        <w:t>exion contractures most commonly found?</w:t>
      </w:r>
    </w:p>
    <w:p w:rsidR="008947C3" w:rsidRDefault="0055791E">
      <w:pPr>
        <w:numPr>
          <w:ilvl w:val="0"/>
          <w:numId w:val="1"/>
        </w:numPr>
        <w:ind w:hanging="230"/>
      </w:pPr>
      <w:r>
        <w:t>Rheumatoid factor-positive polyarthritis</w:t>
      </w:r>
    </w:p>
    <w:p w:rsidR="008947C3" w:rsidRDefault="0055791E">
      <w:pPr>
        <w:numPr>
          <w:ilvl w:val="0"/>
          <w:numId w:val="1"/>
        </w:numPr>
        <w:ind w:hanging="230"/>
      </w:pPr>
      <w:r>
        <w:t>Systemic arthritis</w:t>
      </w:r>
    </w:p>
    <w:p w:rsidR="008947C3" w:rsidRDefault="0055791E">
      <w:pPr>
        <w:numPr>
          <w:ilvl w:val="0"/>
          <w:numId w:val="1"/>
        </w:numPr>
        <w:ind w:hanging="230"/>
      </w:pPr>
      <w:proofErr w:type="spellStart"/>
      <w:r>
        <w:t>Oligoarthritis</w:t>
      </w:r>
      <w:proofErr w:type="spellEnd"/>
    </w:p>
    <w:p w:rsidR="008947C3" w:rsidRDefault="0055791E">
      <w:pPr>
        <w:numPr>
          <w:ilvl w:val="0"/>
          <w:numId w:val="1"/>
        </w:numPr>
        <w:ind w:hanging="230"/>
      </w:pPr>
      <w:proofErr w:type="spellStart"/>
      <w:r>
        <w:t>Enthesitis</w:t>
      </w:r>
      <w:proofErr w:type="spellEnd"/>
      <w:r>
        <w:t>-related arthritis</w:t>
      </w:r>
    </w:p>
    <w:p w:rsidR="008947C3" w:rsidRDefault="0055791E">
      <w:pPr>
        <w:numPr>
          <w:ilvl w:val="0"/>
          <w:numId w:val="1"/>
        </w:numPr>
        <w:ind w:hanging="230"/>
      </w:pPr>
      <w:r>
        <w:t>None of the above</w:t>
      </w:r>
    </w:p>
    <w:p w:rsidR="008947C3" w:rsidRDefault="0055791E">
      <w:pPr>
        <w:spacing w:after="193"/>
        <w:ind w:left="-5"/>
      </w:pPr>
      <w:r>
        <w:t xml:space="preserve">Answer: c. This subtype typically affects the lower limb, particularly the knees, with </w:t>
      </w:r>
      <w:r>
        <w:rPr>
          <w:rFonts w:ascii="Calibri" w:eastAsia="Calibri" w:hAnsi="Calibri" w:cs="Calibri"/>
        </w:rPr>
        <w:t>fl</w:t>
      </w:r>
      <w:r>
        <w:t>exion contractures often observed. (a) is incorrect. This subtype generally affects small joints such as the metacarpophalangeal joints in the hands. It also affects small joints in the feet. (b) is incorrect. This subtype is considered the most life-threatening subtype of JIA and typically presents with a sudden onset of fever and a non-</w:t>
      </w:r>
      <w:r>
        <w:rPr>
          <w:rFonts w:ascii="Calibri" w:eastAsia="Calibri" w:hAnsi="Calibri" w:cs="Calibri"/>
        </w:rPr>
        <w:t>fi</w:t>
      </w:r>
      <w:r>
        <w:t>xed erythematosus rash. (d) is incorrect. This subtype is mainly speci</w:t>
      </w:r>
      <w:r>
        <w:rPr>
          <w:rFonts w:ascii="Calibri" w:eastAsia="Calibri" w:hAnsi="Calibri" w:cs="Calibri"/>
        </w:rPr>
        <w:t>fi</w:t>
      </w:r>
      <w:r>
        <w:t xml:space="preserve">c to </w:t>
      </w:r>
      <w:proofErr w:type="spellStart"/>
      <w:r>
        <w:t>enthesopathies</w:t>
      </w:r>
      <w:proofErr w:type="spellEnd"/>
      <w:r>
        <w:t xml:space="preserve"> found in the Achilles and plantar fascial insertions. The hip is also commonly affected in this subtype. (e) is incorrect. Other subtypes not mentioned may involve the hip and knee; however, they are not associated with </w:t>
      </w:r>
      <w:r>
        <w:rPr>
          <w:rFonts w:ascii="Calibri" w:eastAsia="Calibri" w:hAnsi="Calibri" w:cs="Calibri"/>
        </w:rPr>
        <w:t>fl</w:t>
      </w:r>
      <w:r>
        <w:t xml:space="preserve">exion contractures as commonly as the </w:t>
      </w:r>
      <w:proofErr w:type="spellStart"/>
      <w:r>
        <w:t>oligoarthritis</w:t>
      </w:r>
      <w:proofErr w:type="spellEnd"/>
      <w:r>
        <w:t xml:space="preserve"> subtype.</w:t>
      </w:r>
    </w:p>
    <w:p w:rsidR="008947C3" w:rsidRDefault="0055791E">
      <w:pPr>
        <w:ind w:left="-5"/>
      </w:pPr>
      <w:r>
        <w:t>2 Which one of the following is correct?</w:t>
      </w:r>
    </w:p>
    <w:p w:rsidR="008947C3" w:rsidRDefault="0055791E">
      <w:pPr>
        <w:numPr>
          <w:ilvl w:val="0"/>
          <w:numId w:val="2"/>
        </w:numPr>
        <w:ind w:hanging="230"/>
      </w:pPr>
      <w:r>
        <w:t xml:space="preserve">Typically, in the </w:t>
      </w:r>
      <w:proofErr w:type="spellStart"/>
      <w:r>
        <w:t>oligoarthritis</w:t>
      </w:r>
      <w:proofErr w:type="spellEnd"/>
      <w:r>
        <w:t xml:space="preserve"> subtype of JIA, small joints </w:t>
      </w:r>
      <w:proofErr w:type="spellStart"/>
      <w:r>
        <w:t>ofthe</w:t>
      </w:r>
      <w:proofErr w:type="spellEnd"/>
      <w:r>
        <w:t xml:space="preserve"> hands and feet are affected at the time of diagnosis.</w:t>
      </w:r>
    </w:p>
    <w:p w:rsidR="008947C3" w:rsidRDefault="0055791E">
      <w:pPr>
        <w:numPr>
          <w:ilvl w:val="0"/>
          <w:numId w:val="2"/>
        </w:numPr>
        <w:ind w:hanging="230"/>
      </w:pPr>
      <w:r>
        <w:t xml:space="preserve">The pre-patellar bursa is the most common site of bursitis </w:t>
      </w:r>
      <w:proofErr w:type="spellStart"/>
      <w:r>
        <w:t>inchildren</w:t>
      </w:r>
      <w:proofErr w:type="spellEnd"/>
      <w:r>
        <w:t xml:space="preserve"> with JIA.</w:t>
      </w:r>
    </w:p>
    <w:p w:rsidR="008947C3" w:rsidRDefault="0055791E">
      <w:pPr>
        <w:numPr>
          <w:ilvl w:val="0"/>
          <w:numId w:val="2"/>
        </w:numPr>
        <w:ind w:hanging="230"/>
      </w:pPr>
      <w:r>
        <w:t xml:space="preserve">Active arthritis of the knee typically exhibits </w:t>
      </w:r>
      <w:proofErr w:type="spellStart"/>
      <w:r>
        <w:t>bilateralinvolvement</w:t>
      </w:r>
      <w:proofErr w:type="spellEnd"/>
      <w:r>
        <w:t xml:space="preserve"> which may cause quadriceps muscle atrophy of the symptomatic leg.</w:t>
      </w:r>
    </w:p>
    <w:p w:rsidR="008947C3" w:rsidRDefault="0055791E">
      <w:pPr>
        <w:numPr>
          <w:ilvl w:val="0"/>
          <w:numId w:val="2"/>
        </w:numPr>
        <w:ind w:hanging="230"/>
      </w:pPr>
      <w:r>
        <w:t xml:space="preserve">When examined by magnetic resonance imaging, </w:t>
      </w:r>
      <w:proofErr w:type="spellStart"/>
      <w:r>
        <w:t>suprapa-tellar</w:t>
      </w:r>
      <w:proofErr w:type="spellEnd"/>
      <w:r>
        <w:t xml:space="preserve"> joint effusions of the knee are highly prevalent.</w:t>
      </w:r>
    </w:p>
    <w:p w:rsidR="008947C3" w:rsidRDefault="0055791E">
      <w:pPr>
        <w:numPr>
          <w:ilvl w:val="0"/>
          <w:numId w:val="2"/>
        </w:numPr>
        <w:ind w:hanging="230"/>
      </w:pPr>
      <w:r>
        <w:t xml:space="preserve">Prevalence of ankle and </w:t>
      </w:r>
      <w:proofErr w:type="spellStart"/>
      <w:r>
        <w:t>rearfoot</w:t>
      </w:r>
      <w:proofErr w:type="spellEnd"/>
      <w:r>
        <w:t xml:space="preserve"> synovitis is highest in </w:t>
      </w:r>
      <w:proofErr w:type="spellStart"/>
      <w:r>
        <w:t>theoligoarthritis</w:t>
      </w:r>
      <w:proofErr w:type="spellEnd"/>
      <w:r>
        <w:t xml:space="preserve"> subtype of JIA.</w:t>
      </w:r>
    </w:p>
    <w:p w:rsidR="008947C3" w:rsidRDefault="0055791E">
      <w:pPr>
        <w:ind w:left="-5"/>
      </w:pPr>
      <w:r>
        <w:t xml:space="preserve">Answer: d. One study including 30 children with JIA found that </w:t>
      </w:r>
      <w:proofErr w:type="spellStart"/>
      <w:r>
        <w:t>suprapatellar</w:t>
      </w:r>
      <w:proofErr w:type="spellEnd"/>
      <w:r>
        <w:t xml:space="preserve"> joint effusions were highly prevalent (87%) when examined by magnetic resonance imaging. (a) is incorrect. The knees or ankles are affected in 30</w:t>
      </w:r>
      <w:r>
        <w:rPr>
          <w:rFonts w:ascii="Calibri" w:eastAsia="Calibri" w:hAnsi="Calibri" w:cs="Calibri"/>
        </w:rPr>
        <w:t>–</w:t>
      </w:r>
      <w:r>
        <w:t xml:space="preserve">50% of </w:t>
      </w:r>
      <w:proofErr w:type="spellStart"/>
      <w:r>
        <w:t>oligoarthritis</w:t>
      </w:r>
      <w:proofErr w:type="spellEnd"/>
      <w:r>
        <w:t xml:space="preserve"> cases at the time of diagnosis. Small joints of hands and feet are typically associated with the rheumatoid factor-positive polyarthritis subtype. (b) is incorrect. The </w:t>
      </w:r>
      <w:proofErr w:type="spellStart"/>
      <w:r>
        <w:t>suprapatellar</w:t>
      </w:r>
      <w:proofErr w:type="spellEnd"/>
      <w:r>
        <w:t xml:space="preserve"> bursa is the most common site of bursitis in children with JIA. (c) is incorrect. Active arthritis of the knee typically exhibits unilateral involvement which may cause quadriceps muscle atrophy of the symptomatic leg. (e) is incorrect. Prevalence is higher in systemic onset JIA (81%).</w:t>
      </w:r>
    </w:p>
    <w:p w:rsidR="008947C3" w:rsidRDefault="0055791E">
      <w:pPr>
        <w:ind w:left="-5"/>
      </w:pPr>
      <w:r>
        <w:t>3 Which one of the following is FALSE?</w:t>
      </w:r>
    </w:p>
    <w:p w:rsidR="008947C3" w:rsidRDefault="0055791E">
      <w:pPr>
        <w:numPr>
          <w:ilvl w:val="0"/>
          <w:numId w:val="3"/>
        </w:numPr>
        <w:ind w:hanging="229"/>
      </w:pPr>
      <w:r>
        <w:t xml:space="preserve">The Achilles tendon and plantar fascial insertions </w:t>
      </w:r>
      <w:proofErr w:type="spellStart"/>
      <w:r>
        <w:t>arecommon</w:t>
      </w:r>
      <w:proofErr w:type="spellEnd"/>
      <w:r>
        <w:t xml:space="preserve"> sites of </w:t>
      </w:r>
      <w:proofErr w:type="spellStart"/>
      <w:r>
        <w:t>enthesopathies</w:t>
      </w:r>
      <w:proofErr w:type="spellEnd"/>
      <w:r>
        <w:t xml:space="preserve"> in the </w:t>
      </w:r>
      <w:proofErr w:type="spellStart"/>
      <w:r>
        <w:t>enthesitis</w:t>
      </w:r>
      <w:proofErr w:type="spellEnd"/>
      <w:r>
        <w:t>-related subtype of JIA.</w:t>
      </w:r>
    </w:p>
    <w:p w:rsidR="008947C3" w:rsidRDefault="0055791E">
      <w:pPr>
        <w:numPr>
          <w:ilvl w:val="0"/>
          <w:numId w:val="3"/>
        </w:numPr>
        <w:ind w:hanging="229"/>
      </w:pPr>
      <w:r>
        <w:t xml:space="preserve">Excessive pronation of the </w:t>
      </w:r>
      <w:proofErr w:type="spellStart"/>
      <w:r>
        <w:t>rearfoot</w:t>
      </w:r>
      <w:proofErr w:type="spellEnd"/>
      <w:r>
        <w:t xml:space="preserve"> and </w:t>
      </w:r>
      <w:proofErr w:type="spellStart"/>
      <w:r>
        <w:t>midfoot</w:t>
      </w:r>
      <w:proofErr w:type="spellEnd"/>
      <w:r>
        <w:t xml:space="preserve"> is a </w:t>
      </w:r>
      <w:proofErr w:type="spellStart"/>
      <w:r>
        <w:t>frequent</w:t>
      </w:r>
      <w:r>
        <w:rPr>
          <w:rFonts w:ascii="Calibri" w:eastAsia="Calibri" w:hAnsi="Calibri" w:cs="Calibri"/>
        </w:rPr>
        <w:t>fi</w:t>
      </w:r>
      <w:r>
        <w:t>nding</w:t>
      </w:r>
      <w:proofErr w:type="spellEnd"/>
      <w:r>
        <w:t xml:space="preserve"> in JIA patients.</w:t>
      </w:r>
    </w:p>
    <w:p w:rsidR="008947C3" w:rsidRDefault="0055791E">
      <w:pPr>
        <w:numPr>
          <w:ilvl w:val="0"/>
          <w:numId w:val="3"/>
        </w:numPr>
        <w:ind w:hanging="229"/>
      </w:pPr>
      <w:r>
        <w:t xml:space="preserve">Research has indicated that custom or customised </w:t>
      </w:r>
      <w:proofErr w:type="spellStart"/>
      <w:r>
        <w:t>footorthoses</w:t>
      </w:r>
      <w:proofErr w:type="spellEnd"/>
      <w:r>
        <w:t xml:space="preserve"> are safe and may reduce pain and improve quality of life in children with lower limb symptomatic joints in JIA.</w:t>
      </w:r>
    </w:p>
    <w:p w:rsidR="008947C3" w:rsidRDefault="0055791E">
      <w:pPr>
        <w:numPr>
          <w:ilvl w:val="0"/>
          <w:numId w:val="3"/>
        </w:numPr>
        <w:ind w:hanging="229"/>
      </w:pPr>
      <w:r>
        <w:t xml:space="preserve">Research indicates that digital deformities in JIA are not </w:t>
      </w:r>
      <w:proofErr w:type="spellStart"/>
      <w:r>
        <w:t>acommon</w:t>
      </w:r>
      <w:proofErr w:type="spellEnd"/>
      <w:r>
        <w:t xml:space="preserve"> clinical lower limb pathology.</w:t>
      </w:r>
    </w:p>
    <w:p w:rsidR="008947C3" w:rsidRDefault="0055791E">
      <w:pPr>
        <w:numPr>
          <w:ilvl w:val="0"/>
          <w:numId w:val="3"/>
        </w:numPr>
        <w:ind w:hanging="229"/>
      </w:pPr>
      <w:r>
        <w:t xml:space="preserve">Approximately 40% of children with JIA across all </w:t>
      </w:r>
      <w:proofErr w:type="spellStart"/>
      <w:r>
        <w:t>sevensubtypes</w:t>
      </w:r>
      <w:proofErr w:type="spellEnd"/>
      <w:r>
        <w:t xml:space="preserve"> have ankle and </w:t>
      </w:r>
      <w:proofErr w:type="spellStart"/>
      <w:r>
        <w:t>rearfoot</w:t>
      </w:r>
      <w:proofErr w:type="spellEnd"/>
      <w:r>
        <w:t xml:space="preserve"> joint synovitis.</w:t>
      </w:r>
    </w:p>
    <w:p w:rsidR="008947C3" w:rsidRDefault="0055791E">
      <w:pPr>
        <w:spacing w:after="438"/>
        <w:ind w:left="-5" w:right="95"/>
      </w:pPr>
      <w:r>
        <w:t>Answer: d. The statement is false and is therefore the correct answer. There is limited research in forefoot pathologies in JIA to make a de</w:t>
      </w:r>
      <w:r>
        <w:rPr>
          <w:rFonts w:ascii="Calibri" w:eastAsia="Calibri" w:hAnsi="Calibri" w:cs="Calibri"/>
        </w:rPr>
        <w:t>fi</w:t>
      </w:r>
      <w:r>
        <w:t xml:space="preserve">nite association between digital deformities across subtypes of JIA. The psoriatic arthritis subtype may cause </w:t>
      </w:r>
      <w:proofErr w:type="spellStart"/>
      <w:r>
        <w:t>dactylitis</w:t>
      </w:r>
      <w:proofErr w:type="spellEnd"/>
      <w:r>
        <w:t xml:space="preserve"> of the digits but the prevalence is unclear.</w:t>
      </w:r>
    </w:p>
    <w:p w:rsidR="008947C3" w:rsidRDefault="0055791E">
      <w:pPr>
        <w:pStyle w:val="Heading1"/>
        <w:ind w:left="-5"/>
      </w:pPr>
      <w:r>
        <w:t>References</w:t>
      </w:r>
    </w:p>
    <w:p w:rsidR="008947C3" w:rsidRDefault="0055791E">
      <w:pPr>
        <w:numPr>
          <w:ilvl w:val="0"/>
          <w:numId w:val="4"/>
        </w:numPr>
        <w:spacing w:line="285" w:lineRule="auto"/>
        <w:ind w:right="96" w:hanging="245"/>
      </w:pPr>
      <w:proofErr w:type="spellStart"/>
      <w:r>
        <w:rPr>
          <w:rFonts w:ascii="Calibri" w:eastAsia="Calibri" w:hAnsi="Calibri" w:cs="Calibri"/>
          <w:sz w:val="15"/>
        </w:rPr>
        <w:t>Ravelli</w:t>
      </w:r>
      <w:proofErr w:type="spellEnd"/>
      <w:r>
        <w:rPr>
          <w:rFonts w:ascii="Calibri" w:eastAsia="Calibri" w:hAnsi="Calibri" w:cs="Calibri"/>
          <w:sz w:val="15"/>
        </w:rPr>
        <w:t xml:space="preserve"> A, Martini A. Juvenile idiopathic arthritis. Lancet 2007; 369: 767–78.</w:t>
      </w:r>
    </w:p>
    <w:p w:rsidR="008947C3" w:rsidRDefault="0055791E">
      <w:pPr>
        <w:numPr>
          <w:ilvl w:val="0"/>
          <w:numId w:val="4"/>
        </w:numPr>
        <w:spacing w:line="285" w:lineRule="auto"/>
        <w:ind w:right="96" w:hanging="245"/>
      </w:pPr>
      <w:r>
        <w:rPr>
          <w:rFonts w:ascii="Calibri" w:eastAsia="Calibri" w:hAnsi="Calibri" w:cs="Calibri"/>
          <w:sz w:val="15"/>
        </w:rPr>
        <w:t xml:space="preserve">Manners PJ, </w:t>
      </w:r>
      <w:proofErr w:type="spellStart"/>
      <w:r>
        <w:rPr>
          <w:rFonts w:ascii="Calibri" w:eastAsia="Calibri" w:hAnsi="Calibri" w:cs="Calibri"/>
          <w:sz w:val="15"/>
        </w:rPr>
        <w:t>Diepeveen</w:t>
      </w:r>
      <w:proofErr w:type="spellEnd"/>
      <w:r>
        <w:rPr>
          <w:rFonts w:ascii="Calibri" w:eastAsia="Calibri" w:hAnsi="Calibri" w:cs="Calibri"/>
          <w:sz w:val="15"/>
        </w:rPr>
        <w:t xml:space="preserve"> DA. Prevalence of juvenile chronic arthritis in a population of 12-year-old children in urban Australia. </w:t>
      </w:r>
      <w:proofErr w:type="spellStart"/>
      <w:r>
        <w:rPr>
          <w:rFonts w:ascii="Calibri" w:eastAsia="Calibri" w:hAnsi="Calibri" w:cs="Calibri"/>
          <w:sz w:val="15"/>
        </w:rPr>
        <w:t>Pediatrics</w:t>
      </w:r>
      <w:proofErr w:type="spellEnd"/>
      <w:r>
        <w:rPr>
          <w:rFonts w:ascii="Calibri" w:eastAsia="Calibri" w:hAnsi="Calibri" w:cs="Calibri"/>
          <w:sz w:val="15"/>
        </w:rPr>
        <w:t xml:space="preserve"> 1996; 98: 84–90.</w:t>
      </w:r>
    </w:p>
    <w:p w:rsidR="008947C3" w:rsidRDefault="0055791E">
      <w:pPr>
        <w:numPr>
          <w:ilvl w:val="0"/>
          <w:numId w:val="4"/>
        </w:numPr>
        <w:spacing w:line="285" w:lineRule="auto"/>
        <w:ind w:right="96" w:hanging="245"/>
      </w:pPr>
      <w:r>
        <w:rPr>
          <w:rFonts w:ascii="Calibri" w:eastAsia="Calibri" w:hAnsi="Calibri" w:cs="Calibri"/>
          <w:sz w:val="15"/>
        </w:rPr>
        <w:t xml:space="preserve">Thomson P, Volpe R. Introduction to </w:t>
      </w:r>
      <w:proofErr w:type="spellStart"/>
      <w:r>
        <w:rPr>
          <w:rFonts w:ascii="Calibri" w:eastAsia="Calibri" w:hAnsi="Calibri" w:cs="Calibri"/>
          <w:sz w:val="15"/>
        </w:rPr>
        <w:t>Podopediatrics</w:t>
      </w:r>
      <w:proofErr w:type="spellEnd"/>
      <w:r>
        <w:rPr>
          <w:rFonts w:ascii="Calibri" w:eastAsia="Calibri" w:hAnsi="Calibri" w:cs="Calibri"/>
          <w:sz w:val="15"/>
        </w:rPr>
        <w:t>. London: Churchill Livingstone, 2001.</w:t>
      </w:r>
    </w:p>
    <w:p w:rsidR="008947C3" w:rsidRDefault="0055791E">
      <w:pPr>
        <w:numPr>
          <w:ilvl w:val="0"/>
          <w:numId w:val="4"/>
        </w:numPr>
        <w:spacing w:line="285" w:lineRule="auto"/>
        <w:ind w:right="96" w:hanging="245"/>
      </w:pPr>
      <w:r>
        <w:rPr>
          <w:rFonts w:ascii="Calibri" w:eastAsia="Calibri" w:hAnsi="Calibri" w:cs="Calibri"/>
          <w:sz w:val="15"/>
        </w:rPr>
        <w:t xml:space="preserve">Saarinen J, </w:t>
      </w:r>
      <w:proofErr w:type="spellStart"/>
      <w:r>
        <w:rPr>
          <w:rFonts w:ascii="Calibri" w:eastAsia="Calibri" w:hAnsi="Calibri" w:cs="Calibri"/>
          <w:sz w:val="15"/>
        </w:rPr>
        <w:t>Lehtonen</w:t>
      </w:r>
      <w:proofErr w:type="spellEnd"/>
      <w:r>
        <w:rPr>
          <w:rFonts w:ascii="Calibri" w:eastAsia="Calibri" w:hAnsi="Calibri" w:cs="Calibri"/>
          <w:sz w:val="15"/>
        </w:rPr>
        <w:t xml:space="preserve"> K, </w:t>
      </w:r>
      <w:proofErr w:type="spellStart"/>
      <w:r>
        <w:rPr>
          <w:rFonts w:ascii="Calibri" w:eastAsia="Calibri" w:hAnsi="Calibri" w:cs="Calibri"/>
          <w:sz w:val="15"/>
        </w:rPr>
        <w:t>Malkia</w:t>
      </w:r>
      <w:proofErr w:type="spellEnd"/>
      <w:r>
        <w:rPr>
          <w:rFonts w:ascii="Calibri" w:eastAsia="Calibri" w:hAnsi="Calibri" w:cs="Calibri"/>
          <w:sz w:val="15"/>
        </w:rPr>
        <w:t xml:space="preserve"> E, </w:t>
      </w:r>
      <w:proofErr w:type="spellStart"/>
      <w:r>
        <w:rPr>
          <w:rFonts w:ascii="Calibri" w:eastAsia="Calibri" w:hAnsi="Calibri" w:cs="Calibri"/>
          <w:sz w:val="15"/>
        </w:rPr>
        <w:t>Lahdenne</w:t>
      </w:r>
      <w:proofErr w:type="spellEnd"/>
      <w:r>
        <w:rPr>
          <w:rFonts w:ascii="Calibri" w:eastAsia="Calibri" w:hAnsi="Calibri" w:cs="Calibri"/>
          <w:sz w:val="15"/>
        </w:rPr>
        <w:t xml:space="preserve"> P. Lower extremity isometric strength in children with juvenile idiopathic arthritis. </w:t>
      </w:r>
      <w:proofErr w:type="spellStart"/>
      <w:r>
        <w:rPr>
          <w:rFonts w:ascii="Calibri" w:eastAsia="Calibri" w:hAnsi="Calibri" w:cs="Calibri"/>
          <w:sz w:val="15"/>
        </w:rPr>
        <w:t>Clin</w:t>
      </w:r>
      <w:proofErr w:type="spellEnd"/>
      <w:r>
        <w:rPr>
          <w:rFonts w:ascii="Calibri" w:eastAsia="Calibri" w:hAnsi="Calibri" w:cs="Calibri"/>
          <w:sz w:val="15"/>
        </w:rPr>
        <w:t xml:space="preserve">. Exp. </w:t>
      </w:r>
      <w:proofErr w:type="spellStart"/>
      <w:r>
        <w:rPr>
          <w:rFonts w:ascii="Calibri" w:eastAsia="Calibri" w:hAnsi="Calibri" w:cs="Calibri"/>
          <w:sz w:val="15"/>
        </w:rPr>
        <w:t>Rheumatol</w:t>
      </w:r>
      <w:proofErr w:type="spellEnd"/>
      <w:r>
        <w:rPr>
          <w:rFonts w:ascii="Calibri" w:eastAsia="Calibri" w:hAnsi="Calibri" w:cs="Calibri"/>
          <w:sz w:val="15"/>
        </w:rPr>
        <w:t>. 2008; 26: 947–53.</w:t>
      </w:r>
    </w:p>
    <w:p w:rsidR="008947C3" w:rsidRDefault="0055791E">
      <w:pPr>
        <w:numPr>
          <w:ilvl w:val="0"/>
          <w:numId w:val="4"/>
        </w:numPr>
        <w:spacing w:line="285" w:lineRule="auto"/>
        <w:ind w:right="96" w:hanging="245"/>
      </w:pPr>
      <w:proofErr w:type="spellStart"/>
      <w:r>
        <w:rPr>
          <w:rFonts w:ascii="Calibri" w:eastAsia="Calibri" w:hAnsi="Calibri" w:cs="Calibri"/>
          <w:sz w:val="15"/>
        </w:rPr>
        <w:t>Vostrejs</w:t>
      </w:r>
      <w:proofErr w:type="spellEnd"/>
      <w:r>
        <w:rPr>
          <w:rFonts w:ascii="Calibri" w:eastAsia="Calibri" w:hAnsi="Calibri" w:cs="Calibri"/>
          <w:sz w:val="15"/>
        </w:rPr>
        <w:t xml:space="preserve"> M, Hollister JR. Muscle atrophy and leg length discrepancies in </w:t>
      </w:r>
      <w:proofErr w:type="spellStart"/>
      <w:r>
        <w:rPr>
          <w:rFonts w:ascii="Calibri" w:eastAsia="Calibri" w:hAnsi="Calibri" w:cs="Calibri"/>
          <w:sz w:val="15"/>
        </w:rPr>
        <w:t>pauciarticular</w:t>
      </w:r>
      <w:proofErr w:type="spellEnd"/>
      <w:r>
        <w:rPr>
          <w:rFonts w:ascii="Calibri" w:eastAsia="Calibri" w:hAnsi="Calibri" w:cs="Calibri"/>
          <w:sz w:val="15"/>
        </w:rPr>
        <w:t xml:space="preserve"> juvenile rheumatoid arthritis. Am. J. Dis. Child. 1988; 142: 343–5.</w:t>
      </w:r>
    </w:p>
    <w:p w:rsidR="008947C3" w:rsidRDefault="0055791E">
      <w:pPr>
        <w:numPr>
          <w:ilvl w:val="0"/>
          <w:numId w:val="4"/>
        </w:numPr>
        <w:spacing w:line="285" w:lineRule="auto"/>
        <w:ind w:right="96" w:hanging="245"/>
      </w:pPr>
      <w:r>
        <w:rPr>
          <w:rFonts w:ascii="Calibri" w:eastAsia="Calibri" w:hAnsi="Calibri" w:cs="Calibri"/>
          <w:sz w:val="15"/>
        </w:rPr>
        <w:t xml:space="preserve">Simon S, </w:t>
      </w:r>
      <w:proofErr w:type="spellStart"/>
      <w:r>
        <w:rPr>
          <w:rFonts w:ascii="Calibri" w:eastAsia="Calibri" w:hAnsi="Calibri" w:cs="Calibri"/>
          <w:sz w:val="15"/>
        </w:rPr>
        <w:t>Whiffen</w:t>
      </w:r>
      <w:proofErr w:type="spellEnd"/>
      <w:r>
        <w:rPr>
          <w:rFonts w:ascii="Calibri" w:eastAsia="Calibri" w:hAnsi="Calibri" w:cs="Calibri"/>
          <w:sz w:val="15"/>
        </w:rPr>
        <w:t xml:space="preserve"> J, Shapiro F. Leg-length discrepancies in </w:t>
      </w:r>
      <w:proofErr w:type="spellStart"/>
      <w:r>
        <w:rPr>
          <w:rFonts w:ascii="Calibri" w:eastAsia="Calibri" w:hAnsi="Calibri" w:cs="Calibri"/>
          <w:sz w:val="15"/>
        </w:rPr>
        <w:t>monoarticular</w:t>
      </w:r>
      <w:proofErr w:type="spellEnd"/>
      <w:r>
        <w:rPr>
          <w:rFonts w:ascii="Calibri" w:eastAsia="Calibri" w:hAnsi="Calibri" w:cs="Calibri"/>
          <w:sz w:val="15"/>
        </w:rPr>
        <w:t xml:space="preserve"> and </w:t>
      </w:r>
      <w:proofErr w:type="spellStart"/>
      <w:r>
        <w:rPr>
          <w:rFonts w:ascii="Calibri" w:eastAsia="Calibri" w:hAnsi="Calibri" w:cs="Calibri"/>
          <w:sz w:val="15"/>
        </w:rPr>
        <w:t>pauciarticular</w:t>
      </w:r>
      <w:proofErr w:type="spellEnd"/>
      <w:r>
        <w:rPr>
          <w:rFonts w:ascii="Calibri" w:eastAsia="Calibri" w:hAnsi="Calibri" w:cs="Calibri"/>
          <w:sz w:val="15"/>
        </w:rPr>
        <w:t xml:space="preserve"> juvenile rheumatoid arthritis. J. Bone Joint Surg. Am. 1981; 63: 209–15.</w:t>
      </w:r>
    </w:p>
    <w:p w:rsidR="008947C3" w:rsidRDefault="0055791E">
      <w:pPr>
        <w:numPr>
          <w:ilvl w:val="0"/>
          <w:numId w:val="4"/>
        </w:numPr>
        <w:spacing w:line="285" w:lineRule="auto"/>
        <w:ind w:right="96" w:hanging="245"/>
      </w:pPr>
      <w:proofErr w:type="spellStart"/>
      <w:r>
        <w:rPr>
          <w:rFonts w:ascii="Calibri" w:eastAsia="Calibri" w:hAnsi="Calibri" w:cs="Calibri"/>
          <w:sz w:val="15"/>
        </w:rPr>
        <w:t>Packham</w:t>
      </w:r>
      <w:proofErr w:type="spellEnd"/>
      <w:r>
        <w:rPr>
          <w:rFonts w:ascii="Calibri" w:eastAsia="Calibri" w:hAnsi="Calibri" w:cs="Calibri"/>
          <w:sz w:val="15"/>
        </w:rPr>
        <w:t xml:space="preserve"> J, Hall M. Long-term follow-up of 246 adults with juvenile idiopathic arthritis: Functional outcome. Rheumatology 2002; 41: 1428–35.</w:t>
      </w:r>
    </w:p>
    <w:p w:rsidR="008947C3" w:rsidRDefault="0055791E">
      <w:pPr>
        <w:numPr>
          <w:ilvl w:val="0"/>
          <w:numId w:val="4"/>
        </w:numPr>
        <w:spacing w:line="285" w:lineRule="auto"/>
        <w:ind w:right="96" w:hanging="245"/>
      </w:pPr>
      <w:r>
        <w:rPr>
          <w:rFonts w:ascii="Calibri" w:eastAsia="Calibri" w:hAnsi="Calibri" w:cs="Calibri"/>
          <w:sz w:val="15"/>
        </w:rPr>
        <w:t>David J, Cooper C, Hickey L et al. The functional and psychological outcomes of juvenile chronic arthritis in young adulthood. Rheumatology 1994; 33: 876–81.</w:t>
      </w:r>
    </w:p>
    <w:p w:rsidR="008947C3" w:rsidRDefault="0055791E">
      <w:pPr>
        <w:numPr>
          <w:ilvl w:val="0"/>
          <w:numId w:val="4"/>
        </w:numPr>
        <w:spacing w:line="285" w:lineRule="auto"/>
        <w:ind w:right="96" w:hanging="245"/>
      </w:pPr>
      <w:r>
        <w:rPr>
          <w:rFonts w:ascii="Calibri" w:eastAsia="Calibri" w:hAnsi="Calibri" w:cs="Calibri"/>
          <w:sz w:val="15"/>
        </w:rPr>
        <w:t xml:space="preserve">Minden K, </w:t>
      </w:r>
      <w:proofErr w:type="spellStart"/>
      <w:r>
        <w:rPr>
          <w:rFonts w:ascii="Calibri" w:eastAsia="Calibri" w:hAnsi="Calibri" w:cs="Calibri"/>
          <w:sz w:val="15"/>
        </w:rPr>
        <w:t>Niewerth</w:t>
      </w:r>
      <w:proofErr w:type="spellEnd"/>
      <w:r>
        <w:rPr>
          <w:rFonts w:ascii="Calibri" w:eastAsia="Calibri" w:hAnsi="Calibri" w:cs="Calibri"/>
          <w:sz w:val="15"/>
        </w:rPr>
        <w:t xml:space="preserve"> M, Listing J et al. Paediatric rheumatology: The economic burden of juvenile idiopathic arthritis—Results from the German paediatric rheumatologic database. </w:t>
      </w:r>
      <w:proofErr w:type="spellStart"/>
      <w:r>
        <w:rPr>
          <w:rFonts w:ascii="Calibri" w:eastAsia="Calibri" w:hAnsi="Calibri" w:cs="Calibri"/>
          <w:sz w:val="15"/>
        </w:rPr>
        <w:t>Clin</w:t>
      </w:r>
      <w:proofErr w:type="spellEnd"/>
      <w:r>
        <w:rPr>
          <w:rFonts w:ascii="Calibri" w:eastAsia="Calibri" w:hAnsi="Calibri" w:cs="Calibri"/>
          <w:sz w:val="15"/>
        </w:rPr>
        <w:t xml:space="preserve">. Exp. </w:t>
      </w:r>
      <w:proofErr w:type="spellStart"/>
      <w:r>
        <w:rPr>
          <w:rFonts w:ascii="Calibri" w:eastAsia="Calibri" w:hAnsi="Calibri" w:cs="Calibri"/>
          <w:sz w:val="15"/>
        </w:rPr>
        <w:t>Rheumatol</w:t>
      </w:r>
      <w:proofErr w:type="spellEnd"/>
      <w:r>
        <w:rPr>
          <w:rFonts w:ascii="Calibri" w:eastAsia="Calibri" w:hAnsi="Calibri" w:cs="Calibri"/>
          <w:sz w:val="15"/>
        </w:rPr>
        <w:t>. 2009; 27: 863.</w:t>
      </w:r>
    </w:p>
    <w:p w:rsidR="008947C3" w:rsidRDefault="0055791E">
      <w:pPr>
        <w:numPr>
          <w:ilvl w:val="0"/>
          <w:numId w:val="4"/>
        </w:numPr>
        <w:spacing w:line="285" w:lineRule="auto"/>
        <w:ind w:right="96" w:hanging="245"/>
      </w:pPr>
      <w:proofErr w:type="spellStart"/>
      <w:r>
        <w:rPr>
          <w:rFonts w:ascii="Calibri" w:eastAsia="Calibri" w:hAnsi="Calibri" w:cs="Calibri"/>
          <w:sz w:val="15"/>
        </w:rPr>
        <w:t>Bernatsky</w:t>
      </w:r>
      <w:proofErr w:type="spellEnd"/>
      <w:r>
        <w:rPr>
          <w:rFonts w:ascii="Calibri" w:eastAsia="Calibri" w:hAnsi="Calibri" w:cs="Calibri"/>
          <w:sz w:val="15"/>
        </w:rPr>
        <w:t xml:space="preserve"> S, Duffy C, </w:t>
      </w:r>
      <w:proofErr w:type="spellStart"/>
      <w:r>
        <w:rPr>
          <w:rFonts w:ascii="Calibri" w:eastAsia="Calibri" w:hAnsi="Calibri" w:cs="Calibri"/>
          <w:sz w:val="15"/>
        </w:rPr>
        <w:t>Malleson</w:t>
      </w:r>
      <w:proofErr w:type="spellEnd"/>
      <w:r>
        <w:rPr>
          <w:rFonts w:ascii="Calibri" w:eastAsia="Calibri" w:hAnsi="Calibri" w:cs="Calibri"/>
          <w:sz w:val="15"/>
        </w:rPr>
        <w:t xml:space="preserve"> P, Feldman DE, St Pierre Y, Clarke AE. Economic impact of juvenile idiopathic arthritis. Arthritis Care Res. 2007; 57: 44–8.</w:t>
      </w:r>
    </w:p>
    <w:p w:rsidR="008947C3" w:rsidRDefault="0055791E">
      <w:pPr>
        <w:numPr>
          <w:ilvl w:val="0"/>
          <w:numId w:val="4"/>
        </w:numPr>
        <w:spacing w:line="285" w:lineRule="auto"/>
        <w:ind w:right="96" w:hanging="245"/>
      </w:pPr>
      <w:r>
        <w:rPr>
          <w:rFonts w:ascii="Calibri" w:eastAsia="Calibri" w:hAnsi="Calibri" w:cs="Calibri"/>
          <w:sz w:val="15"/>
        </w:rPr>
        <w:t xml:space="preserve">Australian Institute of Health and Welfare. What Is Juvenile Arthritis? Canberra: The Institute, 2014. Available from: </w:t>
      </w:r>
      <w:hyperlink r:id="rId10" w:anchor="table3">
        <w:r>
          <w:rPr>
            <w:rFonts w:ascii="Calibri" w:eastAsia="Calibri" w:hAnsi="Calibri" w:cs="Calibri"/>
            <w:sz w:val="15"/>
          </w:rPr>
          <w:t xml:space="preserve">http://www.aihw.gov. </w:t>
        </w:r>
      </w:hyperlink>
      <w:hyperlink r:id="rId11" w:anchor="table3">
        <w:r>
          <w:rPr>
            <w:rFonts w:ascii="Calibri" w:eastAsia="Calibri" w:hAnsi="Calibri" w:cs="Calibri"/>
            <w:sz w:val="15"/>
          </w:rPr>
          <w:t>au/juvenile-arthritis/what-is/#table3</w:t>
        </w:r>
      </w:hyperlink>
      <w:r>
        <w:rPr>
          <w:rFonts w:ascii="Calibri" w:eastAsia="Calibri" w:hAnsi="Calibri" w:cs="Calibri"/>
          <w:sz w:val="15"/>
        </w:rPr>
        <w:t xml:space="preserve"> [accessed 28 July 2015].</w:t>
      </w:r>
    </w:p>
    <w:p w:rsidR="008947C3" w:rsidRDefault="0055791E">
      <w:pPr>
        <w:numPr>
          <w:ilvl w:val="0"/>
          <w:numId w:val="4"/>
        </w:numPr>
        <w:spacing w:line="285" w:lineRule="auto"/>
        <w:ind w:right="96" w:hanging="245"/>
      </w:pPr>
      <w:r>
        <w:rPr>
          <w:rFonts w:ascii="Calibri" w:eastAsia="Calibri" w:hAnsi="Calibri" w:cs="Calibri"/>
          <w:sz w:val="15"/>
        </w:rPr>
        <w:t xml:space="preserve">The Royal Australian College of General Practitioners. Clinical Guideline for the Diagnosis and Management of Juvenile Idiopathic Arthritis. Melbourne: The College, 2009. Available from: </w:t>
      </w:r>
      <w:hyperlink r:id="rId12">
        <w:r>
          <w:rPr>
            <w:rFonts w:ascii="Calibri" w:eastAsia="Calibri" w:hAnsi="Calibri" w:cs="Calibri"/>
            <w:sz w:val="15"/>
          </w:rPr>
          <w:t xml:space="preserve">http://www.racgp. </w:t>
        </w:r>
      </w:hyperlink>
      <w:hyperlink r:id="rId13">
        <w:r>
          <w:rPr>
            <w:rFonts w:ascii="Calibri" w:eastAsia="Calibri" w:hAnsi="Calibri" w:cs="Calibri"/>
            <w:sz w:val="15"/>
          </w:rPr>
          <w:t xml:space="preserve">org.au/your-practice/guidelines/musculoskeletal/juvenileidiopathicarth </w:t>
        </w:r>
      </w:hyperlink>
      <w:hyperlink r:id="rId14">
        <w:proofErr w:type="spellStart"/>
        <w:r>
          <w:rPr>
            <w:rFonts w:ascii="Calibri" w:eastAsia="Calibri" w:hAnsi="Calibri" w:cs="Calibri"/>
            <w:sz w:val="15"/>
          </w:rPr>
          <w:t>ritis</w:t>
        </w:r>
        <w:proofErr w:type="spellEnd"/>
        <w:r>
          <w:rPr>
            <w:rFonts w:ascii="Calibri" w:eastAsia="Calibri" w:hAnsi="Calibri" w:cs="Calibri"/>
            <w:sz w:val="15"/>
          </w:rPr>
          <w:t>/</w:t>
        </w:r>
      </w:hyperlink>
      <w:r>
        <w:rPr>
          <w:rFonts w:ascii="Calibri" w:eastAsia="Calibri" w:hAnsi="Calibri" w:cs="Calibri"/>
          <w:sz w:val="15"/>
        </w:rPr>
        <w:t xml:space="preserve"> [accessed 31 July 2015].</w:t>
      </w:r>
    </w:p>
    <w:p w:rsidR="008947C3" w:rsidRDefault="0055791E">
      <w:pPr>
        <w:numPr>
          <w:ilvl w:val="0"/>
          <w:numId w:val="4"/>
        </w:numPr>
        <w:spacing w:line="285" w:lineRule="auto"/>
        <w:ind w:right="96" w:hanging="245"/>
      </w:pPr>
      <w:proofErr w:type="spellStart"/>
      <w:r>
        <w:rPr>
          <w:rFonts w:ascii="Calibri" w:eastAsia="Calibri" w:hAnsi="Calibri" w:cs="Calibri"/>
          <w:sz w:val="15"/>
        </w:rPr>
        <w:t>Szer</w:t>
      </w:r>
      <w:proofErr w:type="spellEnd"/>
      <w:r>
        <w:rPr>
          <w:rFonts w:ascii="Calibri" w:eastAsia="Calibri" w:hAnsi="Calibri" w:cs="Calibri"/>
          <w:sz w:val="15"/>
        </w:rPr>
        <w:t xml:space="preserve"> IS, Kimura Y, </w:t>
      </w:r>
      <w:proofErr w:type="spellStart"/>
      <w:r>
        <w:rPr>
          <w:rFonts w:ascii="Calibri" w:eastAsia="Calibri" w:hAnsi="Calibri" w:cs="Calibri"/>
          <w:sz w:val="15"/>
        </w:rPr>
        <w:t>Malleson</w:t>
      </w:r>
      <w:proofErr w:type="spellEnd"/>
      <w:r>
        <w:rPr>
          <w:rFonts w:ascii="Calibri" w:eastAsia="Calibri" w:hAnsi="Calibri" w:cs="Calibri"/>
          <w:sz w:val="15"/>
        </w:rPr>
        <w:t xml:space="preserve"> PN, </w:t>
      </w:r>
      <w:proofErr w:type="spellStart"/>
      <w:r>
        <w:rPr>
          <w:rFonts w:ascii="Calibri" w:eastAsia="Calibri" w:hAnsi="Calibri" w:cs="Calibri"/>
          <w:sz w:val="15"/>
        </w:rPr>
        <w:t>Southwood</w:t>
      </w:r>
      <w:proofErr w:type="spellEnd"/>
      <w:r>
        <w:rPr>
          <w:rFonts w:ascii="Calibri" w:eastAsia="Calibri" w:hAnsi="Calibri" w:cs="Calibri"/>
          <w:sz w:val="15"/>
        </w:rPr>
        <w:t xml:space="preserve"> TR. Arthritis in Children and Adolescents: Juvenile Idiopathic Arthritis. New York: Oxford University Press, 2006.</w:t>
      </w:r>
    </w:p>
    <w:p w:rsidR="008947C3" w:rsidRDefault="0055791E">
      <w:pPr>
        <w:numPr>
          <w:ilvl w:val="0"/>
          <w:numId w:val="4"/>
        </w:numPr>
        <w:spacing w:line="285" w:lineRule="auto"/>
        <w:ind w:right="96" w:hanging="245"/>
      </w:pPr>
      <w:proofErr w:type="spellStart"/>
      <w:r>
        <w:rPr>
          <w:rFonts w:ascii="Calibri" w:eastAsia="Calibri" w:hAnsi="Calibri" w:cs="Calibri"/>
          <w:sz w:val="15"/>
        </w:rPr>
        <w:t>Fredriksen</w:t>
      </w:r>
      <w:proofErr w:type="spellEnd"/>
      <w:r>
        <w:rPr>
          <w:rFonts w:ascii="Calibri" w:eastAsia="Calibri" w:hAnsi="Calibri" w:cs="Calibri"/>
          <w:sz w:val="15"/>
        </w:rPr>
        <w:t xml:space="preserve"> B, </w:t>
      </w:r>
      <w:proofErr w:type="spellStart"/>
      <w:r>
        <w:rPr>
          <w:rFonts w:ascii="Calibri" w:eastAsia="Calibri" w:hAnsi="Calibri" w:cs="Calibri"/>
          <w:sz w:val="15"/>
        </w:rPr>
        <w:t>Mengshoel</w:t>
      </w:r>
      <w:proofErr w:type="spellEnd"/>
      <w:r>
        <w:rPr>
          <w:rFonts w:ascii="Calibri" w:eastAsia="Calibri" w:hAnsi="Calibri" w:cs="Calibri"/>
          <w:sz w:val="15"/>
        </w:rPr>
        <w:t xml:space="preserve"> AM. The effect of static traction and orthoses in the treatment of knee contractures in preschool children</w:t>
      </w:r>
    </w:p>
    <w:p w:rsidR="008947C3" w:rsidRDefault="008947C3" w:rsidP="002733CD">
      <w:pPr>
        <w:ind w:left="0" w:firstLine="0"/>
        <w:sectPr w:rsidR="008947C3">
          <w:type w:val="continuous"/>
          <w:pgSz w:w="11906" w:h="15591"/>
          <w:pgMar w:top="917" w:right="1024" w:bottom="1156" w:left="1025" w:header="720" w:footer="720" w:gutter="0"/>
          <w:cols w:num="2" w:space="482"/>
        </w:sectPr>
      </w:pPr>
    </w:p>
    <w:p w:rsidR="008947C3" w:rsidRDefault="008947C3" w:rsidP="002733CD">
      <w:pPr>
        <w:tabs>
          <w:tab w:val="right" w:pos="9854"/>
        </w:tabs>
        <w:spacing w:after="0" w:line="259" w:lineRule="auto"/>
        <w:ind w:left="0" w:firstLine="0"/>
        <w:jc w:val="left"/>
      </w:pPr>
    </w:p>
    <w:p w:rsidR="008947C3" w:rsidRDefault="008947C3">
      <w:pPr>
        <w:sectPr w:rsidR="008947C3">
          <w:type w:val="continuous"/>
          <w:pgSz w:w="11906" w:h="15591"/>
          <w:pgMar w:top="930" w:right="1027" w:bottom="473" w:left="1025" w:header="720" w:footer="720" w:gutter="0"/>
          <w:cols w:space="720"/>
        </w:sectPr>
      </w:pPr>
    </w:p>
    <w:p w:rsidR="002733CD" w:rsidRDefault="002733CD">
      <w:pPr>
        <w:spacing w:after="160" w:line="259" w:lineRule="auto"/>
        <w:ind w:left="0" w:firstLine="0"/>
        <w:jc w:val="left"/>
        <w:rPr>
          <w:rFonts w:ascii="Calibri" w:eastAsia="Calibri" w:hAnsi="Calibri" w:cs="Calibri"/>
          <w:sz w:val="15"/>
        </w:rPr>
      </w:pPr>
      <w:r>
        <w:rPr>
          <w:rFonts w:ascii="Calibri" w:eastAsia="Calibri" w:hAnsi="Calibri" w:cs="Calibri"/>
          <w:sz w:val="15"/>
        </w:rPr>
        <w:br w:type="page"/>
      </w:r>
    </w:p>
    <w:p w:rsidR="008947C3" w:rsidRDefault="0055791E">
      <w:pPr>
        <w:spacing w:line="285" w:lineRule="auto"/>
        <w:ind w:left="244" w:right="2" w:firstLine="0"/>
      </w:pPr>
      <w:r>
        <w:rPr>
          <w:rFonts w:ascii="Calibri" w:eastAsia="Calibri" w:hAnsi="Calibri" w:cs="Calibri"/>
          <w:sz w:val="15"/>
        </w:rPr>
        <w:t>with juvenile chronic arthritis: A single-subject design. Arthritis Care Res. 2000; 13: 352–9.</w:t>
      </w:r>
    </w:p>
    <w:p w:rsidR="008947C3" w:rsidRDefault="0055791E">
      <w:pPr>
        <w:numPr>
          <w:ilvl w:val="0"/>
          <w:numId w:val="5"/>
        </w:numPr>
        <w:spacing w:line="285" w:lineRule="auto"/>
        <w:ind w:right="2" w:hanging="245"/>
      </w:pPr>
      <w:r>
        <w:rPr>
          <w:rFonts w:ascii="Calibri" w:eastAsia="Calibri" w:hAnsi="Calibri" w:cs="Calibri"/>
          <w:sz w:val="15"/>
        </w:rPr>
        <w:t>Roberts JM, Wilson K. Effect of stretching duration on active and passive range of motion in the lower extremity. Br. J. Sports Med. 1999; 33: 259–63.</w:t>
      </w:r>
    </w:p>
    <w:p w:rsidR="008947C3" w:rsidRDefault="0055791E">
      <w:pPr>
        <w:numPr>
          <w:ilvl w:val="0"/>
          <w:numId w:val="5"/>
        </w:numPr>
        <w:spacing w:line="285" w:lineRule="auto"/>
        <w:ind w:right="2" w:hanging="245"/>
      </w:pPr>
      <w:proofErr w:type="spellStart"/>
      <w:r>
        <w:rPr>
          <w:rFonts w:ascii="Calibri" w:eastAsia="Calibri" w:hAnsi="Calibri" w:cs="Calibri"/>
          <w:sz w:val="15"/>
        </w:rPr>
        <w:t>Takken</w:t>
      </w:r>
      <w:proofErr w:type="spellEnd"/>
      <w:r>
        <w:rPr>
          <w:rFonts w:ascii="Calibri" w:eastAsia="Calibri" w:hAnsi="Calibri" w:cs="Calibri"/>
          <w:sz w:val="15"/>
        </w:rPr>
        <w:t xml:space="preserve"> T, van der Net J, </w:t>
      </w:r>
      <w:proofErr w:type="spellStart"/>
      <w:r>
        <w:rPr>
          <w:rFonts w:ascii="Calibri" w:eastAsia="Calibri" w:hAnsi="Calibri" w:cs="Calibri"/>
          <w:sz w:val="15"/>
        </w:rPr>
        <w:t>Kuis</w:t>
      </w:r>
      <w:proofErr w:type="spellEnd"/>
      <w:r>
        <w:rPr>
          <w:rFonts w:ascii="Calibri" w:eastAsia="Calibri" w:hAnsi="Calibri" w:cs="Calibri"/>
          <w:sz w:val="15"/>
        </w:rPr>
        <w:t xml:space="preserve"> W, </w:t>
      </w:r>
      <w:proofErr w:type="spellStart"/>
      <w:r>
        <w:rPr>
          <w:rFonts w:ascii="Calibri" w:eastAsia="Calibri" w:hAnsi="Calibri" w:cs="Calibri"/>
          <w:sz w:val="15"/>
        </w:rPr>
        <w:t>Helders</w:t>
      </w:r>
      <w:proofErr w:type="spellEnd"/>
      <w:r>
        <w:rPr>
          <w:rFonts w:ascii="Calibri" w:eastAsia="Calibri" w:hAnsi="Calibri" w:cs="Calibri"/>
          <w:sz w:val="15"/>
        </w:rPr>
        <w:t xml:space="preserve"> PJ. Aquatic fitness training for children with juvenile idiopathic arthritis. Rheumatology 2003; 42: 1408–14.</w:t>
      </w:r>
    </w:p>
    <w:p w:rsidR="008947C3" w:rsidRDefault="0055791E">
      <w:pPr>
        <w:numPr>
          <w:ilvl w:val="0"/>
          <w:numId w:val="5"/>
        </w:numPr>
        <w:spacing w:line="285" w:lineRule="auto"/>
        <w:ind w:right="2" w:hanging="245"/>
      </w:pPr>
      <w:r>
        <w:rPr>
          <w:rFonts w:ascii="Calibri" w:eastAsia="Calibri" w:hAnsi="Calibri" w:cs="Calibri"/>
          <w:sz w:val="15"/>
        </w:rPr>
        <w:t xml:space="preserve">Epps H, </w:t>
      </w:r>
      <w:proofErr w:type="spellStart"/>
      <w:r>
        <w:rPr>
          <w:rFonts w:ascii="Calibri" w:eastAsia="Calibri" w:hAnsi="Calibri" w:cs="Calibri"/>
          <w:sz w:val="15"/>
        </w:rPr>
        <w:t>Ginnelly</w:t>
      </w:r>
      <w:proofErr w:type="spellEnd"/>
      <w:r>
        <w:rPr>
          <w:rFonts w:ascii="Calibri" w:eastAsia="Calibri" w:hAnsi="Calibri" w:cs="Calibri"/>
          <w:sz w:val="15"/>
        </w:rPr>
        <w:t xml:space="preserve"> L, Utley M et al. Is hydrotherapy cost-effective? A randomised controlled trial of combined hydrotherapy programmes compared with physiotherapy land techniques in children with juvenile idiopathic arthritis. Health Technol. Assess. 2005; 9: 1–59.</w:t>
      </w:r>
    </w:p>
    <w:p w:rsidR="008947C3" w:rsidRDefault="0055791E">
      <w:pPr>
        <w:numPr>
          <w:ilvl w:val="0"/>
          <w:numId w:val="5"/>
        </w:numPr>
        <w:spacing w:line="285" w:lineRule="auto"/>
        <w:ind w:right="2" w:hanging="245"/>
      </w:pPr>
      <w:r>
        <w:rPr>
          <w:rFonts w:ascii="Calibri" w:eastAsia="Calibri" w:hAnsi="Calibri" w:cs="Calibri"/>
          <w:sz w:val="15"/>
        </w:rPr>
        <w:t xml:space="preserve">Spencer CH, Bernstein BH. Hip disease in juvenile rheumatoid arthritis. </w:t>
      </w:r>
      <w:proofErr w:type="spellStart"/>
      <w:r>
        <w:rPr>
          <w:rFonts w:ascii="Calibri" w:eastAsia="Calibri" w:hAnsi="Calibri" w:cs="Calibri"/>
          <w:sz w:val="15"/>
        </w:rPr>
        <w:t>Curr</w:t>
      </w:r>
      <w:proofErr w:type="spellEnd"/>
      <w:r>
        <w:rPr>
          <w:rFonts w:ascii="Calibri" w:eastAsia="Calibri" w:hAnsi="Calibri" w:cs="Calibri"/>
          <w:sz w:val="15"/>
        </w:rPr>
        <w:t xml:space="preserve">. </w:t>
      </w:r>
      <w:proofErr w:type="spellStart"/>
      <w:r>
        <w:rPr>
          <w:rFonts w:ascii="Calibri" w:eastAsia="Calibri" w:hAnsi="Calibri" w:cs="Calibri"/>
          <w:sz w:val="15"/>
        </w:rPr>
        <w:t>Opin</w:t>
      </w:r>
      <w:proofErr w:type="spellEnd"/>
      <w:r>
        <w:rPr>
          <w:rFonts w:ascii="Calibri" w:eastAsia="Calibri" w:hAnsi="Calibri" w:cs="Calibri"/>
          <w:sz w:val="15"/>
        </w:rPr>
        <w:t xml:space="preserve">. </w:t>
      </w:r>
      <w:proofErr w:type="spellStart"/>
      <w:r>
        <w:rPr>
          <w:rFonts w:ascii="Calibri" w:eastAsia="Calibri" w:hAnsi="Calibri" w:cs="Calibri"/>
          <w:sz w:val="15"/>
        </w:rPr>
        <w:t>Rheumatol</w:t>
      </w:r>
      <w:proofErr w:type="spellEnd"/>
      <w:r>
        <w:rPr>
          <w:rFonts w:ascii="Calibri" w:eastAsia="Calibri" w:hAnsi="Calibri" w:cs="Calibri"/>
          <w:sz w:val="15"/>
        </w:rPr>
        <w:t>. 2002; 14: 536–41.</w:t>
      </w:r>
    </w:p>
    <w:p w:rsidR="008947C3" w:rsidRDefault="0055791E">
      <w:pPr>
        <w:numPr>
          <w:ilvl w:val="0"/>
          <w:numId w:val="5"/>
        </w:numPr>
        <w:spacing w:line="285" w:lineRule="auto"/>
        <w:ind w:right="2" w:hanging="245"/>
      </w:pPr>
      <w:proofErr w:type="spellStart"/>
      <w:r>
        <w:rPr>
          <w:rFonts w:ascii="Calibri" w:eastAsia="Calibri" w:hAnsi="Calibri" w:cs="Calibri"/>
          <w:sz w:val="15"/>
        </w:rPr>
        <w:t>Rostom</w:t>
      </w:r>
      <w:proofErr w:type="spellEnd"/>
      <w:r>
        <w:rPr>
          <w:rFonts w:ascii="Calibri" w:eastAsia="Calibri" w:hAnsi="Calibri" w:cs="Calibri"/>
          <w:sz w:val="15"/>
        </w:rPr>
        <w:t xml:space="preserve"> S, Amine B, </w:t>
      </w:r>
      <w:proofErr w:type="spellStart"/>
      <w:r>
        <w:rPr>
          <w:rFonts w:ascii="Calibri" w:eastAsia="Calibri" w:hAnsi="Calibri" w:cs="Calibri"/>
          <w:sz w:val="15"/>
        </w:rPr>
        <w:t>Bensabbah</w:t>
      </w:r>
      <w:proofErr w:type="spellEnd"/>
      <w:r>
        <w:rPr>
          <w:rFonts w:ascii="Calibri" w:eastAsia="Calibri" w:hAnsi="Calibri" w:cs="Calibri"/>
          <w:sz w:val="15"/>
        </w:rPr>
        <w:t xml:space="preserve"> R, </w:t>
      </w:r>
      <w:proofErr w:type="spellStart"/>
      <w:r>
        <w:rPr>
          <w:rFonts w:ascii="Calibri" w:eastAsia="Calibri" w:hAnsi="Calibri" w:cs="Calibri"/>
          <w:sz w:val="15"/>
        </w:rPr>
        <w:t>Abouqal</w:t>
      </w:r>
      <w:proofErr w:type="spellEnd"/>
      <w:r>
        <w:rPr>
          <w:rFonts w:ascii="Calibri" w:eastAsia="Calibri" w:hAnsi="Calibri" w:cs="Calibri"/>
          <w:sz w:val="15"/>
        </w:rPr>
        <w:t xml:space="preserve"> R, </w:t>
      </w:r>
      <w:proofErr w:type="spellStart"/>
      <w:r>
        <w:rPr>
          <w:rFonts w:ascii="Calibri" w:eastAsia="Calibri" w:hAnsi="Calibri" w:cs="Calibri"/>
          <w:sz w:val="15"/>
        </w:rPr>
        <w:t>Hajjaj-Hassouni</w:t>
      </w:r>
      <w:proofErr w:type="spellEnd"/>
      <w:r>
        <w:rPr>
          <w:rFonts w:ascii="Calibri" w:eastAsia="Calibri" w:hAnsi="Calibri" w:cs="Calibri"/>
          <w:sz w:val="15"/>
        </w:rPr>
        <w:t xml:space="preserve"> N. Hip involvement in juvenile idiopathic arthritis. </w:t>
      </w:r>
      <w:proofErr w:type="spellStart"/>
      <w:r>
        <w:rPr>
          <w:rFonts w:ascii="Calibri" w:eastAsia="Calibri" w:hAnsi="Calibri" w:cs="Calibri"/>
          <w:sz w:val="15"/>
        </w:rPr>
        <w:t>Clin</w:t>
      </w:r>
      <w:proofErr w:type="spellEnd"/>
      <w:r>
        <w:rPr>
          <w:rFonts w:ascii="Calibri" w:eastAsia="Calibri" w:hAnsi="Calibri" w:cs="Calibri"/>
          <w:sz w:val="15"/>
        </w:rPr>
        <w:t xml:space="preserve">. </w:t>
      </w:r>
      <w:proofErr w:type="spellStart"/>
      <w:r>
        <w:rPr>
          <w:rFonts w:ascii="Calibri" w:eastAsia="Calibri" w:hAnsi="Calibri" w:cs="Calibri"/>
          <w:sz w:val="15"/>
        </w:rPr>
        <w:t>Rheumatol</w:t>
      </w:r>
      <w:proofErr w:type="spellEnd"/>
      <w:r>
        <w:rPr>
          <w:rFonts w:ascii="Calibri" w:eastAsia="Calibri" w:hAnsi="Calibri" w:cs="Calibri"/>
          <w:sz w:val="15"/>
        </w:rPr>
        <w:t>. 2008; 27: 791–4.</w:t>
      </w:r>
    </w:p>
    <w:p w:rsidR="008947C3" w:rsidRDefault="0055791E">
      <w:pPr>
        <w:numPr>
          <w:ilvl w:val="0"/>
          <w:numId w:val="5"/>
        </w:numPr>
        <w:spacing w:line="285" w:lineRule="auto"/>
        <w:ind w:right="2" w:hanging="245"/>
      </w:pPr>
      <w:r>
        <w:rPr>
          <w:rFonts w:ascii="Calibri" w:eastAsia="Calibri" w:hAnsi="Calibri" w:cs="Calibri"/>
          <w:sz w:val="15"/>
        </w:rPr>
        <w:t xml:space="preserve">Silva VB, </w:t>
      </w:r>
      <w:proofErr w:type="spellStart"/>
      <w:r>
        <w:rPr>
          <w:rFonts w:ascii="Calibri" w:eastAsia="Calibri" w:hAnsi="Calibri" w:cs="Calibri"/>
          <w:sz w:val="15"/>
        </w:rPr>
        <w:t>Faquin</w:t>
      </w:r>
      <w:proofErr w:type="spellEnd"/>
      <w:r>
        <w:rPr>
          <w:rFonts w:ascii="Calibri" w:eastAsia="Calibri" w:hAnsi="Calibri" w:cs="Calibri"/>
          <w:sz w:val="15"/>
        </w:rPr>
        <w:t xml:space="preserve"> G, </w:t>
      </w:r>
      <w:proofErr w:type="spellStart"/>
      <w:r>
        <w:rPr>
          <w:rFonts w:ascii="Calibri" w:eastAsia="Calibri" w:hAnsi="Calibri" w:cs="Calibri"/>
          <w:sz w:val="15"/>
        </w:rPr>
        <w:t>Nicacio</w:t>
      </w:r>
      <w:proofErr w:type="spellEnd"/>
      <w:r>
        <w:rPr>
          <w:rFonts w:ascii="Calibri" w:eastAsia="Calibri" w:hAnsi="Calibri" w:cs="Calibri"/>
          <w:sz w:val="15"/>
        </w:rPr>
        <w:t xml:space="preserve"> A et al. Association between the </w:t>
      </w:r>
      <w:proofErr w:type="spellStart"/>
      <w:r>
        <w:rPr>
          <w:rFonts w:ascii="Calibri" w:eastAsia="Calibri" w:hAnsi="Calibri" w:cs="Calibri"/>
          <w:sz w:val="15"/>
        </w:rPr>
        <w:t>ultrasonographic</w:t>
      </w:r>
      <w:proofErr w:type="spellEnd"/>
      <w:r>
        <w:rPr>
          <w:rFonts w:ascii="Calibri" w:eastAsia="Calibri" w:hAnsi="Calibri" w:cs="Calibri"/>
          <w:sz w:val="15"/>
        </w:rPr>
        <w:t xml:space="preserve"> and clinical findings in the hips of patients with juvenile idiopathic arthritis. Rev. Bras. </w:t>
      </w:r>
      <w:proofErr w:type="spellStart"/>
      <w:r>
        <w:rPr>
          <w:rFonts w:ascii="Calibri" w:eastAsia="Calibri" w:hAnsi="Calibri" w:cs="Calibri"/>
          <w:sz w:val="15"/>
        </w:rPr>
        <w:t>Reumatol</w:t>
      </w:r>
      <w:proofErr w:type="spellEnd"/>
      <w:r>
        <w:rPr>
          <w:rFonts w:ascii="Calibri" w:eastAsia="Calibri" w:hAnsi="Calibri" w:cs="Calibri"/>
          <w:sz w:val="15"/>
        </w:rPr>
        <w:t>. 2013; 53: 322–7.</w:t>
      </w:r>
    </w:p>
    <w:p w:rsidR="008947C3" w:rsidRDefault="0055791E">
      <w:pPr>
        <w:numPr>
          <w:ilvl w:val="0"/>
          <w:numId w:val="5"/>
        </w:numPr>
        <w:spacing w:line="285" w:lineRule="auto"/>
        <w:ind w:right="2" w:hanging="245"/>
      </w:pPr>
      <w:proofErr w:type="spellStart"/>
      <w:r>
        <w:rPr>
          <w:rFonts w:ascii="Calibri" w:eastAsia="Calibri" w:hAnsi="Calibri" w:cs="Calibri"/>
          <w:sz w:val="15"/>
        </w:rPr>
        <w:t>Argyropoulou</w:t>
      </w:r>
      <w:proofErr w:type="spellEnd"/>
      <w:r>
        <w:rPr>
          <w:rFonts w:ascii="Calibri" w:eastAsia="Calibri" w:hAnsi="Calibri" w:cs="Calibri"/>
          <w:sz w:val="15"/>
        </w:rPr>
        <w:t xml:space="preserve"> M, </w:t>
      </w:r>
      <w:proofErr w:type="spellStart"/>
      <w:r>
        <w:rPr>
          <w:rFonts w:ascii="Calibri" w:eastAsia="Calibri" w:hAnsi="Calibri" w:cs="Calibri"/>
          <w:sz w:val="15"/>
        </w:rPr>
        <w:t>Fanis</w:t>
      </w:r>
      <w:proofErr w:type="spellEnd"/>
      <w:r>
        <w:rPr>
          <w:rFonts w:ascii="Calibri" w:eastAsia="Calibri" w:hAnsi="Calibri" w:cs="Calibri"/>
          <w:sz w:val="15"/>
        </w:rPr>
        <w:t xml:space="preserve"> S, </w:t>
      </w:r>
      <w:proofErr w:type="spellStart"/>
      <w:r>
        <w:rPr>
          <w:rFonts w:ascii="Calibri" w:eastAsia="Calibri" w:hAnsi="Calibri" w:cs="Calibri"/>
          <w:sz w:val="15"/>
        </w:rPr>
        <w:t>Xenakis</w:t>
      </w:r>
      <w:proofErr w:type="spellEnd"/>
      <w:r>
        <w:rPr>
          <w:rFonts w:ascii="Calibri" w:eastAsia="Calibri" w:hAnsi="Calibri" w:cs="Calibri"/>
          <w:sz w:val="15"/>
        </w:rPr>
        <w:t xml:space="preserve"> T, </w:t>
      </w:r>
      <w:proofErr w:type="spellStart"/>
      <w:r>
        <w:rPr>
          <w:rFonts w:ascii="Calibri" w:eastAsia="Calibri" w:hAnsi="Calibri" w:cs="Calibri"/>
          <w:sz w:val="15"/>
        </w:rPr>
        <w:t>Efremidis</w:t>
      </w:r>
      <w:proofErr w:type="spellEnd"/>
      <w:r>
        <w:rPr>
          <w:rFonts w:ascii="Calibri" w:eastAsia="Calibri" w:hAnsi="Calibri" w:cs="Calibri"/>
          <w:sz w:val="15"/>
        </w:rPr>
        <w:t xml:space="preserve"> S, </w:t>
      </w:r>
      <w:proofErr w:type="spellStart"/>
      <w:r>
        <w:rPr>
          <w:rFonts w:ascii="Calibri" w:eastAsia="Calibri" w:hAnsi="Calibri" w:cs="Calibri"/>
          <w:sz w:val="15"/>
        </w:rPr>
        <w:t>Siamopoulou</w:t>
      </w:r>
      <w:proofErr w:type="spellEnd"/>
      <w:r>
        <w:rPr>
          <w:rFonts w:ascii="Calibri" w:eastAsia="Calibri" w:hAnsi="Calibri" w:cs="Calibri"/>
          <w:sz w:val="15"/>
        </w:rPr>
        <w:t xml:space="preserve"> A. The role of MRI in the evaluation of hip joint disease in clinical subtypes of juvenile idiopathic arthritis. Br. J. </w:t>
      </w:r>
      <w:proofErr w:type="spellStart"/>
      <w:r>
        <w:rPr>
          <w:rFonts w:ascii="Calibri" w:eastAsia="Calibri" w:hAnsi="Calibri" w:cs="Calibri"/>
          <w:sz w:val="15"/>
        </w:rPr>
        <w:t>Radiol</w:t>
      </w:r>
      <w:proofErr w:type="spellEnd"/>
      <w:r>
        <w:rPr>
          <w:rFonts w:ascii="Calibri" w:eastAsia="Calibri" w:hAnsi="Calibri" w:cs="Calibri"/>
          <w:sz w:val="15"/>
        </w:rPr>
        <w:t>. 2002; 75: 229–33.</w:t>
      </w:r>
    </w:p>
    <w:p w:rsidR="008947C3" w:rsidRDefault="0055791E">
      <w:pPr>
        <w:numPr>
          <w:ilvl w:val="0"/>
          <w:numId w:val="5"/>
        </w:numPr>
        <w:spacing w:line="285" w:lineRule="auto"/>
        <w:ind w:right="2" w:hanging="245"/>
      </w:pPr>
      <w:proofErr w:type="spellStart"/>
      <w:r>
        <w:rPr>
          <w:rFonts w:ascii="Calibri" w:eastAsia="Calibri" w:hAnsi="Calibri" w:cs="Calibri"/>
          <w:sz w:val="15"/>
        </w:rPr>
        <w:t>Pagnini</w:t>
      </w:r>
      <w:proofErr w:type="spellEnd"/>
      <w:r>
        <w:rPr>
          <w:rFonts w:ascii="Calibri" w:eastAsia="Calibri" w:hAnsi="Calibri" w:cs="Calibri"/>
          <w:sz w:val="15"/>
        </w:rPr>
        <w:t xml:space="preserve"> I, Savelli S, </w:t>
      </w:r>
      <w:proofErr w:type="spellStart"/>
      <w:r>
        <w:rPr>
          <w:rFonts w:ascii="Calibri" w:eastAsia="Calibri" w:hAnsi="Calibri" w:cs="Calibri"/>
          <w:sz w:val="15"/>
        </w:rPr>
        <w:t>Matucci-Cerinic</w:t>
      </w:r>
      <w:proofErr w:type="spellEnd"/>
      <w:r>
        <w:rPr>
          <w:rFonts w:ascii="Calibri" w:eastAsia="Calibri" w:hAnsi="Calibri" w:cs="Calibri"/>
          <w:sz w:val="15"/>
        </w:rPr>
        <w:t xml:space="preserve"> M, Fonda C, </w:t>
      </w:r>
      <w:proofErr w:type="spellStart"/>
      <w:r>
        <w:rPr>
          <w:rFonts w:ascii="Calibri" w:eastAsia="Calibri" w:hAnsi="Calibri" w:cs="Calibri"/>
          <w:sz w:val="15"/>
        </w:rPr>
        <w:t>Cimaz</w:t>
      </w:r>
      <w:proofErr w:type="spellEnd"/>
      <w:r>
        <w:rPr>
          <w:rFonts w:ascii="Calibri" w:eastAsia="Calibri" w:hAnsi="Calibri" w:cs="Calibri"/>
          <w:sz w:val="15"/>
        </w:rPr>
        <w:t xml:space="preserve"> R, </w:t>
      </w:r>
      <w:proofErr w:type="spellStart"/>
      <w:r>
        <w:rPr>
          <w:rFonts w:ascii="Calibri" w:eastAsia="Calibri" w:hAnsi="Calibri" w:cs="Calibri"/>
          <w:sz w:val="15"/>
        </w:rPr>
        <w:t>Simonini</w:t>
      </w:r>
      <w:proofErr w:type="spellEnd"/>
      <w:r>
        <w:rPr>
          <w:rFonts w:ascii="Calibri" w:eastAsia="Calibri" w:hAnsi="Calibri" w:cs="Calibri"/>
          <w:sz w:val="15"/>
        </w:rPr>
        <w:t xml:space="preserve"> G. Early predictors of juvenile </w:t>
      </w:r>
      <w:proofErr w:type="spellStart"/>
      <w:r>
        <w:rPr>
          <w:rFonts w:ascii="Calibri" w:eastAsia="Calibri" w:hAnsi="Calibri" w:cs="Calibri"/>
          <w:sz w:val="15"/>
        </w:rPr>
        <w:t>sacroiliitis</w:t>
      </w:r>
      <w:proofErr w:type="spellEnd"/>
      <w:r>
        <w:rPr>
          <w:rFonts w:ascii="Calibri" w:eastAsia="Calibri" w:hAnsi="Calibri" w:cs="Calibri"/>
          <w:sz w:val="15"/>
        </w:rPr>
        <w:t xml:space="preserve"> in </w:t>
      </w:r>
      <w:proofErr w:type="spellStart"/>
      <w:r>
        <w:rPr>
          <w:rFonts w:ascii="Calibri" w:eastAsia="Calibri" w:hAnsi="Calibri" w:cs="Calibri"/>
          <w:sz w:val="15"/>
        </w:rPr>
        <w:t>enthesitis</w:t>
      </w:r>
      <w:proofErr w:type="spellEnd"/>
      <w:r>
        <w:rPr>
          <w:rFonts w:ascii="Calibri" w:eastAsia="Calibri" w:hAnsi="Calibri" w:cs="Calibri"/>
          <w:sz w:val="15"/>
        </w:rPr>
        <w:t xml:space="preserve">-related arthritis. J. </w:t>
      </w:r>
      <w:proofErr w:type="spellStart"/>
      <w:r>
        <w:rPr>
          <w:rFonts w:ascii="Calibri" w:eastAsia="Calibri" w:hAnsi="Calibri" w:cs="Calibri"/>
          <w:sz w:val="15"/>
        </w:rPr>
        <w:t>Rheumatol</w:t>
      </w:r>
      <w:proofErr w:type="spellEnd"/>
      <w:r>
        <w:rPr>
          <w:rFonts w:ascii="Calibri" w:eastAsia="Calibri" w:hAnsi="Calibri" w:cs="Calibri"/>
          <w:sz w:val="15"/>
        </w:rPr>
        <w:t>. 2010; 37: 2395–401.</w:t>
      </w:r>
    </w:p>
    <w:p w:rsidR="008947C3" w:rsidRDefault="0055791E">
      <w:pPr>
        <w:numPr>
          <w:ilvl w:val="0"/>
          <w:numId w:val="5"/>
        </w:numPr>
        <w:spacing w:line="285" w:lineRule="auto"/>
        <w:ind w:right="2" w:hanging="245"/>
      </w:pPr>
      <w:proofErr w:type="spellStart"/>
      <w:r>
        <w:rPr>
          <w:rFonts w:ascii="Calibri" w:eastAsia="Calibri" w:hAnsi="Calibri" w:cs="Calibri"/>
          <w:sz w:val="15"/>
        </w:rPr>
        <w:t>Baydogan</w:t>
      </w:r>
      <w:proofErr w:type="spellEnd"/>
      <w:r>
        <w:rPr>
          <w:rFonts w:ascii="Calibri" w:eastAsia="Calibri" w:hAnsi="Calibri" w:cs="Calibri"/>
          <w:sz w:val="15"/>
        </w:rPr>
        <w:t xml:space="preserve"> SN, </w:t>
      </w:r>
      <w:proofErr w:type="spellStart"/>
      <w:r>
        <w:rPr>
          <w:rFonts w:ascii="Calibri" w:eastAsia="Calibri" w:hAnsi="Calibri" w:cs="Calibri"/>
          <w:sz w:val="15"/>
        </w:rPr>
        <w:t>Tarakci</w:t>
      </w:r>
      <w:proofErr w:type="spellEnd"/>
      <w:r>
        <w:rPr>
          <w:rFonts w:ascii="Calibri" w:eastAsia="Calibri" w:hAnsi="Calibri" w:cs="Calibri"/>
          <w:sz w:val="15"/>
        </w:rPr>
        <w:t xml:space="preserve"> E, </w:t>
      </w:r>
      <w:proofErr w:type="spellStart"/>
      <w:r>
        <w:rPr>
          <w:rFonts w:ascii="Calibri" w:eastAsia="Calibri" w:hAnsi="Calibri" w:cs="Calibri"/>
          <w:sz w:val="15"/>
        </w:rPr>
        <w:t>Kasapcopur</w:t>
      </w:r>
      <w:proofErr w:type="spellEnd"/>
      <w:r>
        <w:rPr>
          <w:rFonts w:ascii="Calibri" w:eastAsia="Calibri" w:hAnsi="Calibri" w:cs="Calibri"/>
          <w:sz w:val="15"/>
        </w:rPr>
        <w:t xml:space="preserve"> O. Effect of strengthening versus balance-proprioceptive exercises on lower extremity function in patients with juvenile idiopathic arthritis: A randomized, single-blind clinical trial. Am. J. Phys. Med. </w:t>
      </w:r>
      <w:proofErr w:type="spellStart"/>
      <w:r>
        <w:rPr>
          <w:rFonts w:ascii="Calibri" w:eastAsia="Calibri" w:hAnsi="Calibri" w:cs="Calibri"/>
          <w:sz w:val="15"/>
        </w:rPr>
        <w:t>Rehabil</w:t>
      </w:r>
      <w:proofErr w:type="spellEnd"/>
      <w:r>
        <w:rPr>
          <w:rFonts w:ascii="Calibri" w:eastAsia="Calibri" w:hAnsi="Calibri" w:cs="Calibri"/>
          <w:sz w:val="15"/>
        </w:rPr>
        <w:t>. 2015; 94: 417–24, quiz 25–8.</w:t>
      </w:r>
    </w:p>
    <w:p w:rsidR="008947C3" w:rsidRDefault="0055791E">
      <w:pPr>
        <w:numPr>
          <w:ilvl w:val="0"/>
          <w:numId w:val="5"/>
        </w:numPr>
        <w:spacing w:line="285" w:lineRule="auto"/>
        <w:ind w:right="2" w:hanging="245"/>
      </w:pPr>
      <w:proofErr w:type="spellStart"/>
      <w:r>
        <w:rPr>
          <w:rFonts w:ascii="Calibri" w:eastAsia="Calibri" w:hAnsi="Calibri" w:cs="Calibri"/>
          <w:sz w:val="15"/>
        </w:rPr>
        <w:t>Sandstedt</w:t>
      </w:r>
      <w:proofErr w:type="spellEnd"/>
      <w:r>
        <w:rPr>
          <w:rFonts w:ascii="Calibri" w:eastAsia="Calibri" w:hAnsi="Calibri" w:cs="Calibri"/>
          <w:sz w:val="15"/>
        </w:rPr>
        <w:t xml:space="preserve"> E, </w:t>
      </w:r>
      <w:proofErr w:type="spellStart"/>
      <w:r>
        <w:rPr>
          <w:rFonts w:ascii="Calibri" w:eastAsia="Calibri" w:hAnsi="Calibri" w:cs="Calibri"/>
          <w:sz w:val="15"/>
        </w:rPr>
        <w:t>Fasth</w:t>
      </w:r>
      <w:proofErr w:type="spellEnd"/>
      <w:r>
        <w:rPr>
          <w:rFonts w:ascii="Calibri" w:eastAsia="Calibri" w:hAnsi="Calibri" w:cs="Calibri"/>
          <w:sz w:val="15"/>
        </w:rPr>
        <w:t xml:space="preserve"> A, Eek MN, </w:t>
      </w:r>
      <w:proofErr w:type="spellStart"/>
      <w:r>
        <w:rPr>
          <w:rFonts w:ascii="Calibri" w:eastAsia="Calibri" w:hAnsi="Calibri" w:cs="Calibri"/>
          <w:sz w:val="15"/>
        </w:rPr>
        <w:t>Beckung</w:t>
      </w:r>
      <w:proofErr w:type="spellEnd"/>
      <w:r>
        <w:rPr>
          <w:rFonts w:ascii="Calibri" w:eastAsia="Calibri" w:hAnsi="Calibri" w:cs="Calibri"/>
          <w:sz w:val="15"/>
        </w:rPr>
        <w:t xml:space="preserve"> E. Muscle strength, physical fitness and well-being in children and adolescents with juvenile idiopathic arthritis and the effect of an exercise programme: A randomized controlled trial. </w:t>
      </w:r>
      <w:proofErr w:type="spellStart"/>
      <w:r>
        <w:rPr>
          <w:rFonts w:ascii="Calibri" w:eastAsia="Calibri" w:hAnsi="Calibri" w:cs="Calibri"/>
          <w:sz w:val="15"/>
        </w:rPr>
        <w:t>Pediatr</w:t>
      </w:r>
      <w:proofErr w:type="spellEnd"/>
      <w:r>
        <w:rPr>
          <w:rFonts w:ascii="Calibri" w:eastAsia="Calibri" w:hAnsi="Calibri" w:cs="Calibri"/>
          <w:sz w:val="15"/>
        </w:rPr>
        <w:t xml:space="preserve">. </w:t>
      </w:r>
      <w:proofErr w:type="spellStart"/>
      <w:r>
        <w:rPr>
          <w:rFonts w:ascii="Calibri" w:eastAsia="Calibri" w:hAnsi="Calibri" w:cs="Calibri"/>
          <w:sz w:val="15"/>
        </w:rPr>
        <w:t>Rheumatol</w:t>
      </w:r>
      <w:proofErr w:type="spellEnd"/>
      <w:r>
        <w:rPr>
          <w:rFonts w:ascii="Calibri" w:eastAsia="Calibri" w:hAnsi="Calibri" w:cs="Calibri"/>
          <w:sz w:val="15"/>
        </w:rPr>
        <w:t>. 2013; 11: 7.</w:t>
      </w:r>
    </w:p>
    <w:p w:rsidR="008947C3" w:rsidRDefault="0055791E">
      <w:pPr>
        <w:numPr>
          <w:ilvl w:val="0"/>
          <w:numId w:val="5"/>
        </w:numPr>
        <w:spacing w:line="285" w:lineRule="auto"/>
        <w:ind w:right="2" w:hanging="245"/>
      </w:pPr>
      <w:proofErr w:type="spellStart"/>
      <w:r>
        <w:rPr>
          <w:rFonts w:ascii="Calibri" w:eastAsia="Calibri" w:hAnsi="Calibri" w:cs="Calibri"/>
          <w:sz w:val="15"/>
        </w:rPr>
        <w:t>Lelieveld</w:t>
      </w:r>
      <w:proofErr w:type="spellEnd"/>
      <w:r>
        <w:rPr>
          <w:rFonts w:ascii="Calibri" w:eastAsia="Calibri" w:hAnsi="Calibri" w:cs="Calibri"/>
          <w:sz w:val="15"/>
        </w:rPr>
        <w:t xml:space="preserve"> OTHM, </w:t>
      </w:r>
      <w:proofErr w:type="spellStart"/>
      <w:r>
        <w:rPr>
          <w:rFonts w:ascii="Calibri" w:eastAsia="Calibri" w:hAnsi="Calibri" w:cs="Calibri"/>
          <w:sz w:val="15"/>
        </w:rPr>
        <w:t>Armbrust</w:t>
      </w:r>
      <w:proofErr w:type="spellEnd"/>
      <w:r>
        <w:rPr>
          <w:rFonts w:ascii="Calibri" w:eastAsia="Calibri" w:hAnsi="Calibri" w:cs="Calibri"/>
          <w:sz w:val="15"/>
        </w:rPr>
        <w:t xml:space="preserve"> W, van </w:t>
      </w:r>
      <w:proofErr w:type="spellStart"/>
      <w:r>
        <w:rPr>
          <w:rFonts w:ascii="Calibri" w:eastAsia="Calibri" w:hAnsi="Calibri" w:cs="Calibri"/>
          <w:sz w:val="15"/>
        </w:rPr>
        <w:t>Leeuwen</w:t>
      </w:r>
      <w:proofErr w:type="spellEnd"/>
      <w:r>
        <w:rPr>
          <w:rFonts w:ascii="Calibri" w:eastAsia="Calibri" w:hAnsi="Calibri" w:cs="Calibri"/>
          <w:sz w:val="15"/>
        </w:rPr>
        <w:t xml:space="preserve"> MA et al. Physical activity in adolescents with juvenile idiopathic arthritis. Arthritis Care Res. 2008; 59: 1379–84.</w:t>
      </w:r>
    </w:p>
    <w:p w:rsidR="008947C3" w:rsidRDefault="0055791E">
      <w:pPr>
        <w:numPr>
          <w:ilvl w:val="0"/>
          <w:numId w:val="5"/>
        </w:numPr>
        <w:spacing w:line="285" w:lineRule="auto"/>
        <w:ind w:right="2" w:hanging="245"/>
      </w:pPr>
      <w:r>
        <w:rPr>
          <w:rFonts w:ascii="Calibri" w:eastAsia="Calibri" w:hAnsi="Calibri" w:cs="Calibri"/>
          <w:sz w:val="15"/>
        </w:rPr>
        <w:t xml:space="preserve">Singh-Grewal D, </w:t>
      </w:r>
      <w:proofErr w:type="spellStart"/>
      <w:r>
        <w:rPr>
          <w:rFonts w:ascii="Calibri" w:eastAsia="Calibri" w:hAnsi="Calibri" w:cs="Calibri"/>
          <w:sz w:val="15"/>
        </w:rPr>
        <w:t>Schneiderman</w:t>
      </w:r>
      <w:proofErr w:type="spellEnd"/>
      <w:r>
        <w:rPr>
          <w:rFonts w:ascii="Calibri" w:eastAsia="Calibri" w:hAnsi="Calibri" w:cs="Calibri"/>
          <w:sz w:val="15"/>
        </w:rPr>
        <w:t>-Walker J, Wright V et al. The effects of vigorous exercise training on physical function in children with arthritis: A randomized, controlled, single-blinded trial. Arthritis Care Res. 2007; 57: 1202–10.</w:t>
      </w:r>
    </w:p>
    <w:p w:rsidR="008947C3" w:rsidRDefault="0055791E">
      <w:pPr>
        <w:numPr>
          <w:ilvl w:val="0"/>
          <w:numId w:val="5"/>
        </w:numPr>
        <w:spacing w:line="285" w:lineRule="auto"/>
        <w:ind w:right="2" w:hanging="245"/>
      </w:pPr>
      <w:r>
        <w:rPr>
          <w:rFonts w:ascii="Calibri" w:eastAsia="Calibri" w:hAnsi="Calibri" w:cs="Calibri"/>
          <w:sz w:val="15"/>
        </w:rPr>
        <w:t>Field T, Hernandez-</w:t>
      </w:r>
      <w:proofErr w:type="spellStart"/>
      <w:r>
        <w:rPr>
          <w:rFonts w:ascii="Calibri" w:eastAsia="Calibri" w:hAnsi="Calibri" w:cs="Calibri"/>
          <w:sz w:val="15"/>
        </w:rPr>
        <w:t>Reif</w:t>
      </w:r>
      <w:proofErr w:type="spellEnd"/>
      <w:r>
        <w:rPr>
          <w:rFonts w:ascii="Calibri" w:eastAsia="Calibri" w:hAnsi="Calibri" w:cs="Calibri"/>
          <w:sz w:val="15"/>
        </w:rPr>
        <w:t xml:space="preserve"> M, Seligman S et al. Juvenile rheumatoid arthritis: Benefits from massage therapy. J. </w:t>
      </w:r>
      <w:proofErr w:type="spellStart"/>
      <w:r>
        <w:rPr>
          <w:rFonts w:ascii="Calibri" w:eastAsia="Calibri" w:hAnsi="Calibri" w:cs="Calibri"/>
          <w:sz w:val="15"/>
        </w:rPr>
        <w:t>Pediatr</w:t>
      </w:r>
      <w:proofErr w:type="spellEnd"/>
      <w:r>
        <w:rPr>
          <w:rFonts w:ascii="Calibri" w:eastAsia="Calibri" w:hAnsi="Calibri" w:cs="Calibri"/>
          <w:sz w:val="15"/>
        </w:rPr>
        <w:t>. Psychol. 1997; 22: 607–17.</w:t>
      </w:r>
    </w:p>
    <w:p w:rsidR="008947C3" w:rsidRDefault="0055791E">
      <w:pPr>
        <w:numPr>
          <w:ilvl w:val="0"/>
          <w:numId w:val="5"/>
        </w:numPr>
        <w:spacing w:line="285" w:lineRule="auto"/>
        <w:ind w:right="2" w:hanging="245"/>
      </w:pPr>
      <w:r>
        <w:rPr>
          <w:rFonts w:ascii="Calibri" w:eastAsia="Calibri" w:hAnsi="Calibri" w:cs="Calibri"/>
          <w:sz w:val="15"/>
        </w:rPr>
        <w:t xml:space="preserve">Foster HE, </w:t>
      </w:r>
      <w:proofErr w:type="spellStart"/>
      <w:r>
        <w:rPr>
          <w:rFonts w:ascii="Calibri" w:eastAsia="Calibri" w:hAnsi="Calibri" w:cs="Calibri"/>
          <w:sz w:val="15"/>
        </w:rPr>
        <w:t>Eltringham</w:t>
      </w:r>
      <w:proofErr w:type="spellEnd"/>
      <w:r>
        <w:rPr>
          <w:rFonts w:ascii="Calibri" w:eastAsia="Calibri" w:hAnsi="Calibri" w:cs="Calibri"/>
          <w:sz w:val="15"/>
        </w:rPr>
        <w:t xml:space="preserve"> MS, Kay LJ, </w:t>
      </w:r>
      <w:proofErr w:type="spellStart"/>
      <w:r>
        <w:rPr>
          <w:rFonts w:ascii="Calibri" w:eastAsia="Calibri" w:hAnsi="Calibri" w:cs="Calibri"/>
          <w:sz w:val="15"/>
        </w:rPr>
        <w:t>Friswell</w:t>
      </w:r>
      <w:proofErr w:type="spellEnd"/>
      <w:r>
        <w:rPr>
          <w:rFonts w:ascii="Calibri" w:eastAsia="Calibri" w:hAnsi="Calibri" w:cs="Calibri"/>
          <w:sz w:val="15"/>
        </w:rPr>
        <w:t xml:space="preserve"> M, </w:t>
      </w:r>
      <w:proofErr w:type="spellStart"/>
      <w:r>
        <w:rPr>
          <w:rFonts w:ascii="Calibri" w:eastAsia="Calibri" w:hAnsi="Calibri" w:cs="Calibri"/>
          <w:sz w:val="15"/>
        </w:rPr>
        <w:t>Abinun</w:t>
      </w:r>
      <w:proofErr w:type="spellEnd"/>
      <w:r>
        <w:rPr>
          <w:rFonts w:ascii="Calibri" w:eastAsia="Calibri" w:hAnsi="Calibri" w:cs="Calibri"/>
          <w:sz w:val="15"/>
        </w:rPr>
        <w:t xml:space="preserve"> M, Myers A. Delay in access to appropriate care for children presenting with musculoskeletal symptoms and ultimately diagnosed with juvenile idiopathic arthritis. Arthritis Care Res. 2007; 57: 921–7.</w:t>
      </w:r>
    </w:p>
    <w:p w:rsidR="008947C3" w:rsidRDefault="0055791E">
      <w:pPr>
        <w:numPr>
          <w:ilvl w:val="0"/>
          <w:numId w:val="5"/>
        </w:numPr>
        <w:spacing w:line="285" w:lineRule="auto"/>
        <w:ind w:right="2" w:hanging="245"/>
      </w:pPr>
      <w:r>
        <w:rPr>
          <w:rFonts w:ascii="Calibri" w:eastAsia="Calibri" w:hAnsi="Calibri" w:cs="Calibri"/>
          <w:sz w:val="15"/>
        </w:rPr>
        <w:t xml:space="preserve">Rothschild BM. Recognition and treatment of arthritis in children. </w:t>
      </w:r>
      <w:proofErr w:type="spellStart"/>
      <w:r>
        <w:rPr>
          <w:rFonts w:ascii="Calibri" w:eastAsia="Calibri" w:hAnsi="Calibri" w:cs="Calibri"/>
          <w:sz w:val="15"/>
        </w:rPr>
        <w:t>Compr</w:t>
      </w:r>
      <w:proofErr w:type="spellEnd"/>
      <w:r>
        <w:rPr>
          <w:rFonts w:ascii="Calibri" w:eastAsia="Calibri" w:hAnsi="Calibri" w:cs="Calibri"/>
          <w:sz w:val="15"/>
        </w:rPr>
        <w:t xml:space="preserve">. </w:t>
      </w:r>
      <w:proofErr w:type="spellStart"/>
      <w:r>
        <w:rPr>
          <w:rFonts w:ascii="Calibri" w:eastAsia="Calibri" w:hAnsi="Calibri" w:cs="Calibri"/>
          <w:sz w:val="15"/>
        </w:rPr>
        <w:t>Ther</w:t>
      </w:r>
      <w:proofErr w:type="spellEnd"/>
      <w:r>
        <w:rPr>
          <w:rFonts w:ascii="Calibri" w:eastAsia="Calibri" w:hAnsi="Calibri" w:cs="Calibri"/>
          <w:sz w:val="15"/>
        </w:rPr>
        <w:t>. 1999; 25: 347–59.</w:t>
      </w:r>
    </w:p>
    <w:p w:rsidR="008947C3" w:rsidRDefault="0055791E">
      <w:pPr>
        <w:numPr>
          <w:ilvl w:val="0"/>
          <w:numId w:val="5"/>
        </w:numPr>
        <w:spacing w:line="285" w:lineRule="auto"/>
        <w:ind w:right="2" w:hanging="245"/>
      </w:pPr>
      <w:r>
        <w:rPr>
          <w:rFonts w:ascii="Calibri" w:eastAsia="Calibri" w:hAnsi="Calibri" w:cs="Calibri"/>
          <w:sz w:val="15"/>
        </w:rPr>
        <w:t xml:space="preserve">Haber L, Womack E, Zimmerman C, Hughes J. Clinical manifestations and treatment of the </w:t>
      </w:r>
      <w:proofErr w:type="spellStart"/>
      <w:r>
        <w:rPr>
          <w:rFonts w:ascii="Calibri" w:eastAsia="Calibri" w:hAnsi="Calibri" w:cs="Calibri"/>
          <w:sz w:val="15"/>
        </w:rPr>
        <w:t>pediatric</w:t>
      </w:r>
      <w:proofErr w:type="spellEnd"/>
      <w:r>
        <w:rPr>
          <w:rFonts w:ascii="Calibri" w:eastAsia="Calibri" w:hAnsi="Calibri" w:cs="Calibri"/>
          <w:sz w:val="15"/>
        </w:rPr>
        <w:t xml:space="preserve"> rheumatoid patient. </w:t>
      </w:r>
      <w:proofErr w:type="spellStart"/>
      <w:r>
        <w:rPr>
          <w:rFonts w:ascii="Calibri" w:eastAsia="Calibri" w:hAnsi="Calibri" w:cs="Calibri"/>
          <w:sz w:val="15"/>
        </w:rPr>
        <w:t>Clin</w:t>
      </w:r>
      <w:proofErr w:type="spellEnd"/>
      <w:r>
        <w:rPr>
          <w:rFonts w:ascii="Calibri" w:eastAsia="Calibri" w:hAnsi="Calibri" w:cs="Calibri"/>
          <w:sz w:val="15"/>
        </w:rPr>
        <w:t xml:space="preserve">. </w:t>
      </w:r>
      <w:proofErr w:type="spellStart"/>
      <w:r>
        <w:rPr>
          <w:rFonts w:ascii="Calibri" w:eastAsia="Calibri" w:hAnsi="Calibri" w:cs="Calibri"/>
          <w:sz w:val="15"/>
        </w:rPr>
        <w:t>Podiatr</w:t>
      </w:r>
      <w:proofErr w:type="spellEnd"/>
      <w:r>
        <w:rPr>
          <w:rFonts w:ascii="Calibri" w:eastAsia="Calibri" w:hAnsi="Calibri" w:cs="Calibri"/>
          <w:sz w:val="15"/>
        </w:rPr>
        <w:t>. Med. Surg. 2010; 27: 219–33.</w:t>
      </w:r>
    </w:p>
    <w:p w:rsidR="008947C3" w:rsidRDefault="0055791E">
      <w:pPr>
        <w:numPr>
          <w:ilvl w:val="0"/>
          <w:numId w:val="5"/>
        </w:numPr>
        <w:spacing w:line="285" w:lineRule="auto"/>
        <w:ind w:right="2" w:hanging="245"/>
      </w:pPr>
      <w:proofErr w:type="spellStart"/>
      <w:r>
        <w:rPr>
          <w:rFonts w:ascii="Calibri" w:eastAsia="Calibri" w:hAnsi="Calibri" w:cs="Calibri"/>
          <w:sz w:val="15"/>
        </w:rPr>
        <w:t>Pascoli</w:t>
      </w:r>
      <w:proofErr w:type="spellEnd"/>
      <w:r>
        <w:rPr>
          <w:rFonts w:ascii="Calibri" w:eastAsia="Calibri" w:hAnsi="Calibri" w:cs="Calibri"/>
          <w:sz w:val="15"/>
        </w:rPr>
        <w:t xml:space="preserve"> L, Wright S, McAllister C, Rooney M. Prospective evaluation of clinical and ultrasound findings in ankle disease in juvenile idiopathic arthritis: Importance of ankle ultrasound. J. </w:t>
      </w:r>
      <w:proofErr w:type="spellStart"/>
      <w:r>
        <w:rPr>
          <w:rFonts w:ascii="Calibri" w:eastAsia="Calibri" w:hAnsi="Calibri" w:cs="Calibri"/>
          <w:sz w:val="15"/>
        </w:rPr>
        <w:t>Rheumatol</w:t>
      </w:r>
      <w:proofErr w:type="spellEnd"/>
      <w:r>
        <w:rPr>
          <w:rFonts w:ascii="Calibri" w:eastAsia="Calibri" w:hAnsi="Calibri" w:cs="Calibri"/>
          <w:sz w:val="15"/>
        </w:rPr>
        <w:t>. 2010; 37:</w:t>
      </w:r>
    </w:p>
    <w:p w:rsidR="008947C3" w:rsidRDefault="0055791E">
      <w:pPr>
        <w:spacing w:line="285" w:lineRule="auto"/>
        <w:ind w:left="244" w:right="2" w:firstLine="0"/>
      </w:pPr>
      <w:r>
        <w:rPr>
          <w:rFonts w:ascii="Calibri" w:eastAsia="Calibri" w:hAnsi="Calibri" w:cs="Calibri"/>
          <w:sz w:val="15"/>
        </w:rPr>
        <w:t>2409–14.</w:t>
      </w:r>
    </w:p>
    <w:p w:rsidR="008947C3" w:rsidRDefault="0055791E">
      <w:pPr>
        <w:numPr>
          <w:ilvl w:val="0"/>
          <w:numId w:val="5"/>
        </w:numPr>
        <w:spacing w:line="285" w:lineRule="auto"/>
        <w:ind w:right="2" w:hanging="245"/>
      </w:pPr>
      <w:r>
        <w:rPr>
          <w:rFonts w:ascii="Calibri" w:eastAsia="Calibri" w:hAnsi="Calibri" w:cs="Calibri"/>
          <w:sz w:val="15"/>
        </w:rPr>
        <w:t>Hendry GJ, Gardner-</w:t>
      </w:r>
      <w:proofErr w:type="spellStart"/>
      <w:r>
        <w:rPr>
          <w:rFonts w:ascii="Calibri" w:eastAsia="Calibri" w:hAnsi="Calibri" w:cs="Calibri"/>
          <w:sz w:val="15"/>
        </w:rPr>
        <w:t>Medwin</w:t>
      </w:r>
      <w:proofErr w:type="spellEnd"/>
      <w:r>
        <w:rPr>
          <w:rFonts w:ascii="Calibri" w:eastAsia="Calibri" w:hAnsi="Calibri" w:cs="Calibri"/>
          <w:sz w:val="15"/>
        </w:rPr>
        <w:t xml:space="preserve"> J, </w:t>
      </w:r>
      <w:proofErr w:type="spellStart"/>
      <w:r>
        <w:rPr>
          <w:rFonts w:ascii="Calibri" w:eastAsia="Calibri" w:hAnsi="Calibri" w:cs="Calibri"/>
          <w:sz w:val="15"/>
        </w:rPr>
        <w:t>Steultjens</w:t>
      </w:r>
      <w:proofErr w:type="spellEnd"/>
      <w:r>
        <w:rPr>
          <w:rFonts w:ascii="Calibri" w:eastAsia="Calibri" w:hAnsi="Calibri" w:cs="Calibri"/>
          <w:sz w:val="15"/>
        </w:rPr>
        <w:t xml:space="preserve"> MPM, Woodburn J, </w:t>
      </w:r>
      <w:proofErr w:type="spellStart"/>
      <w:r>
        <w:rPr>
          <w:rFonts w:ascii="Calibri" w:eastAsia="Calibri" w:hAnsi="Calibri" w:cs="Calibri"/>
          <w:sz w:val="15"/>
        </w:rPr>
        <w:t>Sturrock</w:t>
      </w:r>
      <w:proofErr w:type="spellEnd"/>
      <w:r>
        <w:rPr>
          <w:rFonts w:ascii="Calibri" w:eastAsia="Calibri" w:hAnsi="Calibri" w:cs="Calibri"/>
          <w:sz w:val="15"/>
        </w:rPr>
        <w:t xml:space="preserve"> RD, Turner DE. Frequent discordance between clinical and musculoskeletal ultrasound examinations of foot disease in juvenile idiopathic arthritis. Arthritis Care Res. 2012; 64: 441–7.</w:t>
      </w:r>
    </w:p>
    <w:p w:rsidR="008947C3" w:rsidRDefault="0055791E">
      <w:pPr>
        <w:numPr>
          <w:ilvl w:val="0"/>
          <w:numId w:val="5"/>
        </w:numPr>
        <w:spacing w:line="285" w:lineRule="auto"/>
        <w:ind w:right="2" w:hanging="245"/>
      </w:pPr>
      <w:proofErr w:type="spellStart"/>
      <w:r>
        <w:rPr>
          <w:rFonts w:ascii="Calibri" w:eastAsia="Calibri" w:hAnsi="Calibri" w:cs="Calibri"/>
          <w:sz w:val="15"/>
        </w:rPr>
        <w:t>Javadi</w:t>
      </w:r>
      <w:proofErr w:type="spellEnd"/>
      <w:r>
        <w:rPr>
          <w:rFonts w:ascii="Calibri" w:eastAsia="Calibri" w:hAnsi="Calibri" w:cs="Calibri"/>
          <w:sz w:val="15"/>
        </w:rPr>
        <w:t xml:space="preserve"> S, </w:t>
      </w:r>
      <w:proofErr w:type="spellStart"/>
      <w:r>
        <w:rPr>
          <w:rFonts w:ascii="Calibri" w:eastAsia="Calibri" w:hAnsi="Calibri" w:cs="Calibri"/>
          <w:sz w:val="15"/>
        </w:rPr>
        <w:t>Kan</w:t>
      </w:r>
      <w:proofErr w:type="spellEnd"/>
      <w:r>
        <w:rPr>
          <w:rFonts w:ascii="Calibri" w:eastAsia="Calibri" w:hAnsi="Calibri" w:cs="Calibri"/>
          <w:sz w:val="15"/>
        </w:rPr>
        <w:t xml:space="preserve"> JH, Orth RC, </w:t>
      </w:r>
      <w:proofErr w:type="spellStart"/>
      <w:r>
        <w:rPr>
          <w:rFonts w:ascii="Calibri" w:eastAsia="Calibri" w:hAnsi="Calibri" w:cs="Calibri"/>
          <w:sz w:val="15"/>
        </w:rPr>
        <w:t>DeGuzman</w:t>
      </w:r>
      <w:proofErr w:type="spellEnd"/>
      <w:r>
        <w:rPr>
          <w:rFonts w:ascii="Calibri" w:eastAsia="Calibri" w:hAnsi="Calibri" w:cs="Calibri"/>
          <w:sz w:val="15"/>
        </w:rPr>
        <w:t xml:space="preserve"> M. Wrist and ankle MRI of patients with juvenile idiopathic arthritis: Identification of unsuspected </w:t>
      </w:r>
      <w:proofErr w:type="spellStart"/>
      <w:r>
        <w:rPr>
          <w:rFonts w:ascii="Calibri" w:eastAsia="Calibri" w:hAnsi="Calibri" w:cs="Calibri"/>
          <w:sz w:val="15"/>
        </w:rPr>
        <w:t>multicompartmental</w:t>
      </w:r>
      <w:proofErr w:type="spellEnd"/>
      <w:r>
        <w:rPr>
          <w:rFonts w:ascii="Calibri" w:eastAsia="Calibri" w:hAnsi="Calibri" w:cs="Calibri"/>
          <w:sz w:val="15"/>
        </w:rPr>
        <w:t xml:space="preserve"> tenosynovitis and arthritis. AJR Am. J. </w:t>
      </w:r>
      <w:proofErr w:type="spellStart"/>
      <w:r>
        <w:rPr>
          <w:rFonts w:ascii="Calibri" w:eastAsia="Calibri" w:hAnsi="Calibri" w:cs="Calibri"/>
          <w:sz w:val="15"/>
        </w:rPr>
        <w:t>Roentgenol</w:t>
      </w:r>
      <w:proofErr w:type="spellEnd"/>
      <w:r>
        <w:rPr>
          <w:rFonts w:ascii="Calibri" w:eastAsia="Calibri" w:hAnsi="Calibri" w:cs="Calibri"/>
          <w:sz w:val="15"/>
        </w:rPr>
        <w:t>. 2014; 202: 413–7.</w:t>
      </w:r>
    </w:p>
    <w:p w:rsidR="008947C3" w:rsidRDefault="0055791E">
      <w:pPr>
        <w:numPr>
          <w:ilvl w:val="0"/>
          <w:numId w:val="5"/>
        </w:numPr>
        <w:spacing w:line="285" w:lineRule="auto"/>
        <w:ind w:right="2" w:hanging="245"/>
      </w:pPr>
      <w:r>
        <w:rPr>
          <w:rFonts w:ascii="Calibri" w:eastAsia="Calibri" w:hAnsi="Calibri" w:cs="Calibri"/>
          <w:sz w:val="15"/>
        </w:rPr>
        <w:t xml:space="preserve">Rooney ME, McAllister C, Burns JFT. Ankle disease in juvenile idiopathic arthritis: Ultrasound findings in clinically swollen ankles. J. </w:t>
      </w:r>
      <w:proofErr w:type="spellStart"/>
      <w:r>
        <w:rPr>
          <w:rFonts w:ascii="Calibri" w:eastAsia="Calibri" w:hAnsi="Calibri" w:cs="Calibri"/>
          <w:sz w:val="15"/>
        </w:rPr>
        <w:t>Rheumatol</w:t>
      </w:r>
      <w:proofErr w:type="spellEnd"/>
      <w:r>
        <w:rPr>
          <w:rFonts w:ascii="Calibri" w:eastAsia="Calibri" w:hAnsi="Calibri" w:cs="Calibri"/>
          <w:sz w:val="15"/>
        </w:rPr>
        <w:t>. 2009; 36: 1725–9.</w:t>
      </w:r>
    </w:p>
    <w:p w:rsidR="008947C3" w:rsidRDefault="0055791E">
      <w:pPr>
        <w:numPr>
          <w:ilvl w:val="0"/>
          <w:numId w:val="5"/>
        </w:numPr>
        <w:spacing w:line="285" w:lineRule="auto"/>
        <w:ind w:right="2" w:hanging="245"/>
      </w:pPr>
      <w:proofErr w:type="spellStart"/>
      <w:r>
        <w:rPr>
          <w:rFonts w:ascii="Calibri" w:eastAsia="Calibri" w:hAnsi="Calibri" w:cs="Calibri"/>
          <w:sz w:val="15"/>
        </w:rPr>
        <w:t>Jousse-Joulin</w:t>
      </w:r>
      <w:proofErr w:type="spellEnd"/>
      <w:r>
        <w:rPr>
          <w:rFonts w:ascii="Calibri" w:eastAsia="Calibri" w:hAnsi="Calibri" w:cs="Calibri"/>
          <w:sz w:val="15"/>
        </w:rPr>
        <w:t xml:space="preserve"> S, Breton S, </w:t>
      </w:r>
      <w:proofErr w:type="spellStart"/>
      <w:r>
        <w:rPr>
          <w:rFonts w:ascii="Calibri" w:eastAsia="Calibri" w:hAnsi="Calibri" w:cs="Calibri"/>
          <w:sz w:val="15"/>
        </w:rPr>
        <w:t>Cangemi</w:t>
      </w:r>
      <w:proofErr w:type="spellEnd"/>
      <w:r>
        <w:rPr>
          <w:rFonts w:ascii="Calibri" w:eastAsia="Calibri" w:hAnsi="Calibri" w:cs="Calibri"/>
          <w:sz w:val="15"/>
        </w:rPr>
        <w:t xml:space="preserve"> C et al. Ultrasonography for detecting </w:t>
      </w:r>
      <w:proofErr w:type="spellStart"/>
      <w:r>
        <w:rPr>
          <w:rFonts w:ascii="Calibri" w:eastAsia="Calibri" w:hAnsi="Calibri" w:cs="Calibri"/>
          <w:sz w:val="15"/>
        </w:rPr>
        <w:t>enthesitis</w:t>
      </w:r>
      <w:proofErr w:type="spellEnd"/>
      <w:r>
        <w:rPr>
          <w:rFonts w:ascii="Calibri" w:eastAsia="Calibri" w:hAnsi="Calibri" w:cs="Calibri"/>
          <w:sz w:val="15"/>
        </w:rPr>
        <w:t xml:space="preserve"> in juvenile idiopathic arthritis. Arthritis Care Res. 2011; 63: 849–55.</w:t>
      </w:r>
    </w:p>
    <w:p w:rsidR="008947C3" w:rsidRDefault="0055791E">
      <w:pPr>
        <w:numPr>
          <w:ilvl w:val="0"/>
          <w:numId w:val="5"/>
        </w:numPr>
        <w:spacing w:line="285" w:lineRule="auto"/>
        <w:ind w:right="2" w:hanging="245"/>
      </w:pPr>
      <w:r>
        <w:rPr>
          <w:rFonts w:ascii="Calibri" w:eastAsia="Calibri" w:hAnsi="Calibri" w:cs="Calibri"/>
          <w:sz w:val="15"/>
        </w:rPr>
        <w:t xml:space="preserve">Magnussen RA, Dunn WR, Thomson AB. </w:t>
      </w:r>
      <w:proofErr w:type="spellStart"/>
      <w:r>
        <w:rPr>
          <w:rFonts w:ascii="Calibri" w:eastAsia="Calibri" w:hAnsi="Calibri" w:cs="Calibri"/>
          <w:sz w:val="15"/>
        </w:rPr>
        <w:t>Nonoperative</w:t>
      </w:r>
      <w:proofErr w:type="spellEnd"/>
      <w:r>
        <w:rPr>
          <w:rFonts w:ascii="Calibri" w:eastAsia="Calibri" w:hAnsi="Calibri" w:cs="Calibri"/>
          <w:sz w:val="15"/>
        </w:rPr>
        <w:t xml:space="preserve"> treatment of </w:t>
      </w:r>
      <w:proofErr w:type="spellStart"/>
      <w:r>
        <w:rPr>
          <w:rFonts w:ascii="Calibri" w:eastAsia="Calibri" w:hAnsi="Calibri" w:cs="Calibri"/>
          <w:sz w:val="15"/>
        </w:rPr>
        <w:t>midportion</w:t>
      </w:r>
      <w:proofErr w:type="spellEnd"/>
      <w:r>
        <w:rPr>
          <w:rFonts w:ascii="Calibri" w:eastAsia="Calibri" w:hAnsi="Calibri" w:cs="Calibri"/>
          <w:sz w:val="15"/>
        </w:rPr>
        <w:t xml:space="preserve"> Achilles tendinopathy: A systematic review. </w:t>
      </w:r>
      <w:proofErr w:type="spellStart"/>
      <w:r>
        <w:rPr>
          <w:rFonts w:ascii="Calibri" w:eastAsia="Calibri" w:hAnsi="Calibri" w:cs="Calibri"/>
          <w:sz w:val="15"/>
        </w:rPr>
        <w:t>Clin</w:t>
      </w:r>
      <w:proofErr w:type="spellEnd"/>
      <w:r>
        <w:rPr>
          <w:rFonts w:ascii="Calibri" w:eastAsia="Calibri" w:hAnsi="Calibri" w:cs="Calibri"/>
          <w:sz w:val="15"/>
        </w:rPr>
        <w:t>. J. Sport Med. 2009; 19: 54–64.</w:t>
      </w:r>
    </w:p>
    <w:p w:rsidR="008947C3" w:rsidRDefault="0055791E">
      <w:pPr>
        <w:numPr>
          <w:ilvl w:val="0"/>
          <w:numId w:val="5"/>
        </w:numPr>
        <w:spacing w:line="285" w:lineRule="auto"/>
        <w:ind w:right="2" w:hanging="245"/>
      </w:pPr>
      <w:r>
        <w:rPr>
          <w:rFonts w:ascii="Calibri" w:eastAsia="Calibri" w:hAnsi="Calibri" w:cs="Calibri"/>
          <w:sz w:val="15"/>
        </w:rPr>
        <w:t xml:space="preserve">Ross M. Use of the tissue stress model as a paradigm for developing an examination and management plan for a patient with plantar fasciitis. J. Am. </w:t>
      </w:r>
      <w:proofErr w:type="spellStart"/>
      <w:r>
        <w:rPr>
          <w:rFonts w:ascii="Calibri" w:eastAsia="Calibri" w:hAnsi="Calibri" w:cs="Calibri"/>
          <w:sz w:val="15"/>
        </w:rPr>
        <w:t>Podiatr</w:t>
      </w:r>
      <w:proofErr w:type="spellEnd"/>
      <w:r>
        <w:rPr>
          <w:rFonts w:ascii="Calibri" w:eastAsia="Calibri" w:hAnsi="Calibri" w:cs="Calibri"/>
          <w:sz w:val="15"/>
        </w:rPr>
        <w:t>. Med. Assoc. 2002; 92: 499–506.</w:t>
      </w:r>
    </w:p>
    <w:p w:rsidR="008947C3" w:rsidRDefault="0055791E">
      <w:pPr>
        <w:numPr>
          <w:ilvl w:val="0"/>
          <w:numId w:val="5"/>
        </w:numPr>
        <w:spacing w:line="285" w:lineRule="auto"/>
        <w:ind w:right="2" w:hanging="245"/>
      </w:pPr>
      <w:proofErr w:type="spellStart"/>
      <w:r>
        <w:rPr>
          <w:rFonts w:ascii="Calibri" w:eastAsia="Calibri" w:hAnsi="Calibri" w:cs="Calibri"/>
          <w:sz w:val="15"/>
        </w:rPr>
        <w:t>Carcia</w:t>
      </w:r>
      <w:proofErr w:type="spellEnd"/>
      <w:r>
        <w:rPr>
          <w:rFonts w:ascii="Calibri" w:eastAsia="Calibri" w:hAnsi="Calibri" w:cs="Calibri"/>
          <w:sz w:val="15"/>
        </w:rPr>
        <w:t xml:space="preserve"> CR, Martin RL, Houck J et al. Achilles pain, stiffness, and muscle power deficits: Achilles tendinitis: Clinical practice guidelines linked to the International Classification of Functioning, Disability, and Health from the Orthopaedic Section of the American Physical Therapy Association. J. </w:t>
      </w:r>
      <w:proofErr w:type="spellStart"/>
      <w:r>
        <w:rPr>
          <w:rFonts w:ascii="Calibri" w:eastAsia="Calibri" w:hAnsi="Calibri" w:cs="Calibri"/>
          <w:sz w:val="15"/>
        </w:rPr>
        <w:t>Orthop</w:t>
      </w:r>
      <w:proofErr w:type="spellEnd"/>
      <w:r>
        <w:rPr>
          <w:rFonts w:ascii="Calibri" w:eastAsia="Calibri" w:hAnsi="Calibri" w:cs="Calibri"/>
          <w:sz w:val="15"/>
        </w:rPr>
        <w:t xml:space="preserve">. Sports Phys. </w:t>
      </w:r>
      <w:proofErr w:type="spellStart"/>
      <w:r>
        <w:rPr>
          <w:rFonts w:ascii="Calibri" w:eastAsia="Calibri" w:hAnsi="Calibri" w:cs="Calibri"/>
          <w:sz w:val="15"/>
        </w:rPr>
        <w:t>Ther</w:t>
      </w:r>
      <w:proofErr w:type="spellEnd"/>
      <w:r>
        <w:rPr>
          <w:rFonts w:ascii="Calibri" w:eastAsia="Calibri" w:hAnsi="Calibri" w:cs="Calibri"/>
          <w:sz w:val="15"/>
        </w:rPr>
        <w:t>. 2010; 40: A1–26.</w:t>
      </w:r>
    </w:p>
    <w:p w:rsidR="008947C3" w:rsidRDefault="0055791E">
      <w:pPr>
        <w:numPr>
          <w:ilvl w:val="0"/>
          <w:numId w:val="5"/>
        </w:numPr>
        <w:spacing w:line="285" w:lineRule="auto"/>
        <w:ind w:right="2" w:hanging="245"/>
      </w:pPr>
      <w:proofErr w:type="spellStart"/>
      <w:r>
        <w:rPr>
          <w:rFonts w:ascii="Calibri" w:eastAsia="Calibri" w:hAnsi="Calibri" w:cs="Calibri"/>
          <w:sz w:val="15"/>
        </w:rPr>
        <w:t>Alfredson</w:t>
      </w:r>
      <w:proofErr w:type="spellEnd"/>
      <w:r>
        <w:rPr>
          <w:rFonts w:ascii="Calibri" w:eastAsia="Calibri" w:hAnsi="Calibri" w:cs="Calibri"/>
          <w:sz w:val="15"/>
        </w:rPr>
        <w:t xml:space="preserve"> H, </w:t>
      </w:r>
      <w:proofErr w:type="spellStart"/>
      <w:r>
        <w:rPr>
          <w:rFonts w:ascii="Calibri" w:eastAsia="Calibri" w:hAnsi="Calibri" w:cs="Calibri"/>
          <w:sz w:val="15"/>
        </w:rPr>
        <w:t>Lorentzon</w:t>
      </w:r>
      <w:proofErr w:type="spellEnd"/>
      <w:r>
        <w:rPr>
          <w:rFonts w:ascii="Calibri" w:eastAsia="Calibri" w:hAnsi="Calibri" w:cs="Calibri"/>
          <w:sz w:val="15"/>
        </w:rPr>
        <w:t xml:space="preserve"> R. Chronic </w:t>
      </w:r>
      <w:proofErr w:type="spellStart"/>
      <w:r>
        <w:rPr>
          <w:rFonts w:ascii="Calibri" w:eastAsia="Calibri" w:hAnsi="Calibri" w:cs="Calibri"/>
          <w:sz w:val="15"/>
        </w:rPr>
        <w:t>achilles</w:t>
      </w:r>
      <w:proofErr w:type="spellEnd"/>
      <w:r>
        <w:rPr>
          <w:rFonts w:ascii="Calibri" w:eastAsia="Calibri" w:hAnsi="Calibri" w:cs="Calibri"/>
          <w:sz w:val="15"/>
        </w:rPr>
        <w:t xml:space="preserve"> tendinosis. Sports Med. 2000; 29: 135–46.</w:t>
      </w:r>
    </w:p>
    <w:p w:rsidR="008947C3" w:rsidRDefault="0055791E">
      <w:pPr>
        <w:numPr>
          <w:ilvl w:val="0"/>
          <w:numId w:val="5"/>
        </w:numPr>
        <w:spacing w:line="285" w:lineRule="auto"/>
        <w:ind w:right="2" w:hanging="245"/>
      </w:pPr>
      <w:r>
        <w:rPr>
          <w:rFonts w:ascii="Calibri" w:eastAsia="Calibri" w:hAnsi="Calibri" w:cs="Calibri"/>
          <w:sz w:val="15"/>
        </w:rPr>
        <w:t xml:space="preserve">Coda A, </w:t>
      </w:r>
      <w:proofErr w:type="spellStart"/>
      <w:r>
        <w:rPr>
          <w:rFonts w:ascii="Calibri" w:eastAsia="Calibri" w:hAnsi="Calibri" w:cs="Calibri"/>
          <w:sz w:val="15"/>
        </w:rPr>
        <w:t>Fowlie</w:t>
      </w:r>
      <w:proofErr w:type="spellEnd"/>
      <w:r>
        <w:rPr>
          <w:rFonts w:ascii="Calibri" w:eastAsia="Calibri" w:hAnsi="Calibri" w:cs="Calibri"/>
          <w:sz w:val="15"/>
        </w:rPr>
        <w:t xml:space="preserve"> PW, Davidson JE, Walsh J, Carline T, Santos D. Foot orthoses in children with juvenile idiopathic arthritis: A randomised controlled trial. Arch. Dis. Child. 2014; 99: 649–51.</w:t>
      </w:r>
    </w:p>
    <w:p w:rsidR="008947C3" w:rsidRDefault="0055791E">
      <w:pPr>
        <w:numPr>
          <w:ilvl w:val="0"/>
          <w:numId w:val="5"/>
        </w:numPr>
        <w:spacing w:line="285" w:lineRule="auto"/>
        <w:ind w:right="2" w:hanging="245"/>
      </w:pPr>
      <w:r>
        <w:rPr>
          <w:rFonts w:ascii="Calibri" w:eastAsia="Calibri" w:hAnsi="Calibri" w:cs="Calibri"/>
          <w:sz w:val="15"/>
        </w:rPr>
        <w:t xml:space="preserve">Powell M, </w:t>
      </w:r>
      <w:proofErr w:type="spellStart"/>
      <w:r>
        <w:rPr>
          <w:rFonts w:ascii="Calibri" w:eastAsia="Calibri" w:hAnsi="Calibri" w:cs="Calibri"/>
          <w:sz w:val="15"/>
        </w:rPr>
        <w:t>Seid</w:t>
      </w:r>
      <w:proofErr w:type="spellEnd"/>
      <w:r>
        <w:rPr>
          <w:rFonts w:ascii="Calibri" w:eastAsia="Calibri" w:hAnsi="Calibri" w:cs="Calibri"/>
          <w:sz w:val="15"/>
        </w:rPr>
        <w:t xml:space="preserve"> M, </w:t>
      </w:r>
      <w:proofErr w:type="spellStart"/>
      <w:r>
        <w:rPr>
          <w:rFonts w:ascii="Calibri" w:eastAsia="Calibri" w:hAnsi="Calibri" w:cs="Calibri"/>
          <w:sz w:val="15"/>
        </w:rPr>
        <w:t>Szer</w:t>
      </w:r>
      <w:proofErr w:type="spellEnd"/>
      <w:r>
        <w:rPr>
          <w:rFonts w:ascii="Calibri" w:eastAsia="Calibri" w:hAnsi="Calibri" w:cs="Calibri"/>
          <w:sz w:val="15"/>
        </w:rPr>
        <w:t xml:space="preserve"> IS. Efficacy of custom foot orthotics in improving pain and functional status in children with juvenile idiopathic arthritis: A randomized trial. J. </w:t>
      </w:r>
      <w:proofErr w:type="spellStart"/>
      <w:r>
        <w:rPr>
          <w:rFonts w:ascii="Calibri" w:eastAsia="Calibri" w:hAnsi="Calibri" w:cs="Calibri"/>
          <w:sz w:val="15"/>
        </w:rPr>
        <w:t>Rheumatol</w:t>
      </w:r>
      <w:proofErr w:type="spellEnd"/>
      <w:r>
        <w:rPr>
          <w:rFonts w:ascii="Calibri" w:eastAsia="Calibri" w:hAnsi="Calibri" w:cs="Calibri"/>
          <w:sz w:val="15"/>
        </w:rPr>
        <w:t>. 2005; 32: 943–50.</w:t>
      </w:r>
    </w:p>
    <w:p w:rsidR="008947C3" w:rsidRDefault="0055791E">
      <w:pPr>
        <w:numPr>
          <w:ilvl w:val="0"/>
          <w:numId w:val="5"/>
        </w:numPr>
        <w:spacing w:line="285" w:lineRule="auto"/>
        <w:ind w:right="2" w:hanging="245"/>
      </w:pPr>
      <w:r>
        <w:rPr>
          <w:rFonts w:ascii="Calibri" w:eastAsia="Calibri" w:hAnsi="Calibri" w:cs="Calibri"/>
          <w:sz w:val="15"/>
        </w:rPr>
        <w:t>Ferrari J. A review of the foot deformities seen in juvenile chronic arthritis. Foot 1998; 8: 193–6.</w:t>
      </w:r>
    </w:p>
    <w:p w:rsidR="008947C3" w:rsidRDefault="0055791E">
      <w:pPr>
        <w:numPr>
          <w:ilvl w:val="0"/>
          <w:numId w:val="5"/>
        </w:numPr>
        <w:spacing w:line="285" w:lineRule="auto"/>
        <w:ind w:right="2" w:hanging="245"/>
      </w:pPr>
      <w:r>
        <w:rPr>
          <w:rFonts w:ascii="Calibri" w:eastAsia="Calibri" w:hAnsi="Calibri" w:cs="Calibri"/>
          <w:sz w:val="15"/>
        </w:rPr>
        <w:t>Hendry G, Gardner-</w:t>
      </w:r>
      <w:proofErr w:type="spellStart"/>
      <w:r>
        <w:rPr>
          <w:rFonts w:ascii="Calibri" w:eastAsia="Calibri" w:hAnsi="Calibri" w:cs="Calibri"/>
          <w:sz w:val="15"/>
        </w:rPr>
        <w:t>Medwin</w:t>
      </w:r>
      <w:proofErr w:type="spellEnd"/>
      <w:r>
        <w:rPr>
          <w:rFonts w:ascii="Calibri" w:eastAsia="Calibri" w:hAnsi="Calibri" w:cs="Calibri"/>
          <w:sz w:val="15"/>
        </w:rPr>
        <w:t xml:space="preserve"> J, Watt GF, Woodburn J. A survey of foot problems in juvenile idiopathic arthritis. Musculoskeletal Care 2008; 6: 221–32.</w:t>
      </w:r>
    </w:p>
    <w:p w:rsidR="008947C3" w:rsidRDefault="0055791E">
      <w:pPr>
        <w:numPr>
          <w:ilvl w:val="0"/>
          <w:numId w:val="5"/>
        </w:numPr>
        <w:spacing w:line="285" w:lineRule="auto"/>
        <w:ind w:right="2" w:hanging="245"/>
      </w:pPr>
      <w:proofErr w:type="spellStart"/>
      <w:r>
        <w:rPr>
          <w:rFonts w:ascii="Calibri" w:eastAsia="Calibri" w:hAnsi="Calibri" w:cs="Calibri"/>
          <w:sz w:val="15"/>
        </w:rPr>
        <w:t>Landorf</w:t>
      </w:r>
      <w:proofErr w:type="spellEnd"/>
      <w:r>
        <w:rPr>
          <w:rFonts w:ascii="Calibri" w:eastAsia="Calibri" w:hAnsi="Calibri" w:cs="Calibri"/>
          <w:sz w:val="15"/>
        </w:rPr>
        <w:t xml:space="preserve"> KB, Keenan A-M, Herbert RD. Effectiveness of foot orthoses to treat plantar fasciitis: A randomized trial. Arch. Intern. Med. 2006; 166: 1305–10.</w:t>
      </w:r>
    </w:p>
    <w:p w:rsidR="008947C3" w:rsidRDefault="0055791E">
      <w:pPr>
        <w:numPr>
          <w:ilvl w:val="0"/>
          <w:numId w:val="5"/>
        </w:numPr>
        <w:spacing w:line="285" w:lineRule="auto"/>
        <w:ind w:right="2" w:hanging="245"/>
      </w:pPr>
      <w:proofErr w:type="spellStart"/>
      <w:r>
        <w:rPr>
          <w:rFonts w:ascii="Calibri" w:eastAsia="Calibri" w:hAnsi="Calibri" w:cs="Calibri"/>
          <w:sz w:val="15"/>
        </w:rPr>
        <w:t>Landorf</w:t>
      </w:r>
      <w:proofErr w:type="spellEnd"/>
      <w:r>
        <w:rPr>
          <w:rFonts w:ascii="Calibri" w:eastAsia="Calibri" w:hAnsi="Calibri" w:cs="Calibri"/>
          <w:sz w:val="15"/>
        </w:rPr>
        <w:t xml:space="preserve"> KB, Radford JA, Keenan A-M, Redmond AC. Effectiveness of low-dye taping for the short-term management of plantar fasciitis. J. Am. </w:t>
      </w:r>
      <w:proofErr w:type="spellStart"/>
      <w:r>
        <w:rPr>
          <w:rFonts w:ascii="Calibri" w:eastAsia="Calibri" w:hAnsi="Calibri" w:cs="Calibri"/>
          <w:sz w:val="15"/>
        </w:rPr>
        <w:t>Podiatr</w:t>
      </w:r>
      <w:proofErr w:type="spellEnd"/>
      <w:r>
        <w:rPr>
          <w:rFonts w:ascii="Calibri" w:eastAsia="Calibri" w:hAnsi="Calibri" w:cs="Calibri"/>
          <w:sz w:val="15"/>
        </w:rPr>
        <w:t>. Med. Assoc. 2005; 95: 525–30.</w:t>
      </w:r>
    </w:p>
    <w:p w:rsidR="008947C3" w:rsidRDefault="0055791E">
      <w:pPr>
        <w:numPr>
          <w:ilvl w:val="0"/>
          <w:numId w:val="5"/>
        </w:numPr>
        <w:spacing w:line="285" w:lineRule="auto"/>
        <w:ind w:right="2" w:hanging="245"/>
      </w:pPr>
      <w:proofErr w:type="spellStart"/>
      <w:r>
        <w:rPr>
          <w:rFonts w:ascii="Calibri" w:eastAsia="Calibri" w:hAnsi="Calibri" w:cs="Calibri"/>
          <w:sz w:val="15"/>
        </w:rPr>
        <w:t>Digiovanni</w:t>
      </w:r>
      <w:proofErr w:type="spellEnd"/>
      <w:r>
        <w:rPr>
          <w:rFonts w:ascii="Calibri" w:eastAsia="Calibri" w:hAnsi="Calibri" w:cs="Calibri"/>
          <w:sz w:val="15"/>
        </w:rPr>
        <w:t xml:space="preserve"> BF, </w:t>
      </w:r>
      <w:proofErr w:type="spellStart"/>
      <w:r>
        <w:rPr>
          <w:rFonts w:ascii="Calibri" w:eastAsia="Calibri" w:hAnsi="Calibri" w:cs="Calibri"/>
          <w:sz w:val="15"/>
        </w:rPr>
        <w:t>Nawoczenski</w:t>
      </w:r>
      <w:proofErr w:type="spellEnd"/>
      <w:r>
        <w:rPr>
          <w:rFonts w:ascii="Calibri" w:eastAsia="Calibri" w:hAnsi="Calibri" w:cs="Calibri"/>
          <w:sz w:val="15"/>
        </w:rPr>
        <w:t xml:space="preserve"> DA, Malay DP et al. Plantar fascia-specific stretching exercise improves outcomes in patients with chronic plantar fasciitis. J. Bone Joint Surg. Am. 2006; 88: 1775–81.</w:t>
      </w:r>
    </w:p>
    <w:p w:rsidR="008947C3" w:rsidRDefault="0055791E">
      <w:pPr>
        <w:numPr>
          <w:ilvl w:val="0"/>
          <w:numId w:val="5"/>
        </w:numPr>
        <w:spacing w:line="285" w:lineRule="auto"/>
        <w:ind w:right="2" w:hanging="245"/>
      </w:pPr>
      <w:proofErr w:type="spellStart"/>
      <w:r>
        <w:rPr>
          <w:rFonts w:ascii="Calibri" w:eastAsia="Calibri" w:hAnsi="Calibri" w:cs="Calibri"/>
          <w:sz w:val="15"/>
        </w:rPr>
        <w:t>Spraul</w:t>
      </w:r>
      <w:proofErr w:type="spellEnd"/>
      <w:r>
        <w:rPr>
          <w:rFonts w:ascii="Calibri" w:eastAsia="Calibri" w:hAnsi="Calibri" w:cs="Calibri"/>
          <w:sz w:val="15"/>
        </w:rPr>
        <w:t xml:space="preserve"> G, </w:t>
      </w:r>
      <w:proofErr w:type="spellStart"/>
      <w:r>
        <w:rPr>
          <w:rFonts w:ascii="Calibri" w:eastAsia="Calibri" w:hAnsi="Calibri" w:cs="Calibri"/>
          <w:sz w:val="15"/>
        </w:rPr>
        <w:t>Koenning</w:t>
      </w:r>
      <w:proofErr w:type="spellEnd"/>
      <w:r>
        <w:rPr>
          <w:rFonts w:ascii="Calibri" w:eastAsia="Calibri" w:hAnsi="Calibri" w:cs="Calibri"/>
          <w:sz w:val="15"/>
        </w:rPr>
        <w:t xml:space="preserve"> G. A descriptive study of foot problems in children with juvenile rheumatoid arthritis (JRA). Arthritis Care Res. 1994; 7: 144–50.</w:t>
      </w:r>
    </w:p>
    <w:p w:rsidR="008947C3" w:rsidRDefault="0055791E">
      <w:pPr>
        <w:numPr>
          <w:ilvl w:val="0"/>
          <w:numId w:val="5"/>
        </w:numPr>
        <w:spacing w:after="13" w:line="263" w:lineRule="auto"/>
        <w:ind w:right="2" w:hanging="245"/>
      </w:pPr>
      <w:r>
        <w:rPr>
          <w:rFonts w:ascii="Calibri" w:eastAsia="Calibri" w:hAnsi="Calibri" w:cs="Calibri"/>
          <w:sz w:val="15"/>
        </w:rPr>
        <w:t xml:space="preserve">Melvin J, Atwood M. Rheumatic Disease in the Adult and Child: Occupational Therapy and Rehabilitation, 3rd </w:t>
      </w:r>
      <w:proofErr w:type="spellStart"/>
      <w:r>
        <w:rPr>
          <w:rFonts w:ascii="Calibri" w:eastAsia="Calibri" w:hAnsi="Calibri" w:cs="Calibri"/>
          <w:sz w:val="15"/>
        </w:rPr>
        <w:t>edn</w:t>
      </w:r>
      <w:proofErr w:type="spellEnd"/>
      <w:r>
        <w:rPr>
          <w:rFonts w:ascii="Calibri" w:eastAsia="Calibri" w:hAnsi="Calibri" w:cs="Calibri"/>
          <w:sz w:val="15"/>
        </w:rPr>
        <w:t>. Philadelphia, PA: F.A. Davis, 1989.</w:t>
      </w:r>
    </w:p>
    <w:p w:rsidR="008947C3" w:rsidRDefault="0055791E">
      <w:pPr>
        <w:numPr>
          <w:ilvl w:val="0"/>
          <w:numId w:val="5"/>
        </w:numPr>
        <w:spacing w:line="285" w:lineRule="auto"/>
        <w:ind w:right="2" w:hanging="245"/>
      </w:pPr>
      <w:r>
        <w:rPr>
          <w:rFonts w:ascii="Calibri" w:eastAsia="Calibri" w:hAnsi="Calibri" w:cs="Calibri"/>
          <w:sz w:val="15"/>
        </w:rPr>
        <w:t xml:space="preserve">McKeon PO, </w:t>
      </w:r>
      <w:proofErr w:type="spellStart"/>
      <w:r>
        <w:rPr>
          <w:rFonts w:ascii="Calibri" w:eastAsia="Calibri" w:hAnsi="Calibri" w:cs="Calibri"/>
          <w:sz w:val="15"/>
        </w:rPr>
        <w:t>Hertel</w:t>
      </w:r>
      <w:proofErr w:type="spellEnd"/>
      <w:r>
        <w:rPr>
          <w:rFonts w:ascii="Calibri" w:eastAsia="Calibri" w:hAnsi="Calibri" w:cs="Calibri"/>
          <w:sz w:val="15"/>
        </w:rPr>
        <w:t xml:space="preserve"> J, Bramble D, Davis I. The foot core system: A new paradigm for understanding intrinsic foot muscle function. Br. J. Sports Med. 2014.</w:t>
      </w:r>
    </w:p>
    <w:sectPr w:rsidR="008947C3">
      <w:type w:val="continuous"/>
      <w:pgSz w:w="11906" w:h="15591"/>
      <w:pgMar w:top="1440" w:right="1025" w:bottom="1440" w:left="1120" w:header="720" w:footer="720" w:gutter="0"/>
      <w:cols w:num="2" w:space="47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20C3" w:rsidRDefault="0055791E">
      <w:pPr>
        <w:spacing w:after="0" w:line="240" w:lineRule="auto"/>
      </w:pPr>
      <w:r>
        <w:separator/>
      </w:r>
    </w:p>
  </w:endnote>
  <w:endnote w:type="continuationSeparator" w:id="0">
    <w:p w:rsidR="004720C3" w:rsidRDefault="005579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47C3" w:rsidRDefault="008947C3">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91E" w:rsidRDefault="0055791E">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1F0D6B">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of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1F0D6B">
      <w:rPr>
        <w:noProof/>
        <w:color w:val="323E4F" w:themeColor="text2" w:themeShade="BF"/>
        <w:sz w:val="24"/>
        <w:szCs w:val="24"/>
      </w:rPr>
      <w:t>5</w:t>
    </w:r>
    <w:r>
      <w:rPr>
        <w:color w:val="323E4F" w:themeColor="text2" w:themeShade="BF"/>
        <w:sz w:val="24"/>
        <w:szCs w:val="24"/>
      </w:rPr>
      <w:fldChar w:fldCharType="end"/>
    </w:r>
  </w:p>
  <w:p w:rsidR="008947C3" w:rsidRPr="00C74C74" w:rsidRDefault="008947C3" w:rsidP="00C74C74">
    <w:pPr>
      <w:pStyle w:val="Footer"/>
      <w:ind w:left="0" w:firstLine="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47C3" w:rsidRDefault="0055791E">
    <w:pPr>
      <w:tabs>
        <w:tab w:val="right" w:pos="9761"/>
      </w:tabs>
      <w:spacing w:after="0" w:line="259" w:lineRule="auto"/>
      <w:ind w:left="0" w:firstLine="0"/>
      <w:jc w:val="left"/>
    </w:pPr>
    <w:r>
      <w:rPr>
        <w:rFonts w:ascii="Calibri" w:eastAsia="Calibri" w:hAnsi="Calibri" w:cs="Calibri"/>
        <w:sz w:val="13"/>
      </w:rPr>
      <w:t>Journal of Paediatrics and Child Health (2017)</w:t>
    </w:r>
    <w:r>
      <w:rPr>
        <w:rFonts w:ascii="Calibri" w:eastAsia="Calibri" w:hAnsi="Calibri" w:cs="Calibri"/>
        <w:sz w:val="13"/>
      </w:rPr>
      <w:tab/>
    </w:r>
    <w:r>
      <w:fldChar w:fldCharType="begin"/>
    </w:r>
    <w:r>
      <w:instrText xml:space="preserve"> PAGE   \* MERGEFORMAT </w:instrText>
    </w:r>
    <w:r>
      <w:fldChar w:fldCharType="separate"/>
    </w:r>
    <w:r>
      <w:rPr>
        <w:rFonts w:ascii="Calibri" w:eastAsia="Calibri" w:hAnsi="Calibri" w:cs="Calibri"/>
      </w:rPr>
      <w:t>1</w:t>
    </w:r>
    <w:r>
      <w:rPr>
        <w:rFonts w:ascii="Calibri" w:eastAsia="Calibri" w:hAnsi="Calibri" w:cs="Calibri"/>
      </w:rPr>
      <w:fldChar w:fldCharType="end"/>
    </w:r>
  </w:p>
  <w:p w:rsidR="008947C3" w:rsidRDefault="0055791E">
    <w:pPr>
      <w:spacing w:after="0" w:line="259" w:lineRule="auto"/>
      <w:ind w:left="0" w:firstLine="0"/>
      <w:jc w:val="left"/>
    </w:pPr>
    <w:r>
      <w:rPr>
        <w:rFonts w:ascii="Calibri" w:eastAsia="Calibri" w:hAnsi="Calibri" w:cs="Calibri"/>
        <w:sz w:val="13"/>
      </w:rPr>
      <w:t>© 2017 Paediatrics and Child Health Division (The Royal Australasian College of Physicians)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20C3" w:rsidRDefault="0055791E">
      <w:pPr>
        <w:spacing w:after="0" w:line="240" w:lineRule="auto"/>
      </w:pPr>
      <w:r>
        <w:separator/>
      </w:r>
    </w:p>
  </w:footnote>
  <w:footnote w:type="continuationSeparator" w:id="0">
    <w:p w:rsidR="004720C3" w:rsidRDefault="005579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075A66"/>
    <w:multiLevelType w:val="hybridMultilevel"/>
    <w:tmpl w:val="891EDF2A"/>
    <w:lvl w:ilvl="0" w:tplc="FB521A2A">
      <w:start w:val="1"/>
      <w:numFmt w:val="lowerLetter"/>
      <w:lvlText w:val="%1)"/>
      <w:lvlJc w:val="left"/>
      <w:pPr>
        <w:ind w:left="39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3DB808DC">
      <w:start w:val="1"/>
      <w:numFmt w:val="lowerLetter"/>
      <w:lvlText w:val="%2"/>
      <w:lvlJc w:val="left"/>
      <w:pPr>
        <w:ind w:left="124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420E681C">
      <w:start w:val="1"/>
      <w:numFmt w:val="lowerRoman"/>
      <w:lvlText w:val="%3"/>
      <w:lvlJc w:val="left"/>
      <w:pPr>
        <w:ind w:left="196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53601CB4">
      <w:start w:val="1"/>
      <w:numFmt w:val="decimal"/>
      <w:lvlText w:val="%4"/>
      <w:lvlJc w:val="left"/>
      <w:pPr>
        <w:ind w:left="268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8BD04558">
      <w:start w:val="1"/>
      <w:numFmt w:val="lowerLetter"/>
      <w:lvlText w:val="%5"/>
      <w:lvlJc w:val="left"/>
      <w:pPr>
        <w:ind w:left="340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B5BCA402">
      <w:start w:val="1"/>
      <w:numFmt w:val="lowerRoman"/>
      <w:lvlText w:val="%6"/>
      <w:lvlJc w:val="left"/>
      <w:pPr>
        <w:ind w:left="412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64685258">
      <w:start w:val="1"/>
      <w:numFmt w:val="decimal"/>
      <w:lvlText w:val="%7"/>
      <w:lvlJc w:val="left"/>
      <w:pPr>
        <w:ind w:left="484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5DA63FF8">
      <w:start w:val="1"/>
      <w:numFmt w:val="lowerLetter"/>
      <w:lvlText w:val="%8"/>
      <w:lvlJc w:val="left"/>
      <w:pPr>
        <w:ind w:left="556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8EACF18A">
      <w:start w:val="1"/>
      <w:numFmt w:val="lowerRoman"/>
      <w:lvlText w:val="%9"/>
      <w:lvlJc w:val="left"/>
      <w:pPr>
        <w:ind w:left="628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1" w15:restartNumberingAfterBreak="0">
    <w:nsid w:val="12550429"/>
    <w:multiLevelType w:val="hybridMultilevel"/>
    <w:tmpl w:val="70F4B132"/>
    <w:lvl w:ilvl="0" w:tplc="4F62E23C">
      <w:start w:val="1"/>
      <w:numFmt w:val="decimal"/>
      <w:lvlText w:val="%1"/>
      <w:lvlJc w:val="left"/>
      <w:pPr>
        <w:ind w:left="162"/>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1" w:tplc="B5F61DA6">
      <w:start w:val="1"/>
      <w:numFmt w:val="lowerLetter"/>
      <w:lvlText w:val="%2"/>
      <w:lvlJc w:val="left"/>
      <w:pPr>
        <w:ind w:left="108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2" w:tplc="F28EF528">
      <w:start w:val="1"/>
      <w:numFmt w:val="lowerRoman"/>
      <w:lvlText w:val="%3"/>
      <w:lvlJc w:val="left"/>
      <w:pPr>
        <w:ind w:left="180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3" w:tplc="BEBCD812">
      <w:start w:val="1"/>
      <w:numFmt w:val="decimal"/>
      <w:lvlText w:val="%4"/>
      <w:lvlJc w:val="left"/>
      <w:pPr>
        <w:ind w:left="252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4" w:tplc="C8E8F9DA">
      <w:start w:val="1"/>
      <w:numFmt w:val="lowerLetter"/>
      <w:lvlText w:val="%5"/>
      <w:lvlJc w:val="left"/>
      <w:pPr>
        <w:ind w:left="324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5" w:tplc="C0AC077C">
      <w:start w:val="1"/>
      <w:numFmt w:val="lowerRoman"/>
      <w:lvlText w:val="%6"/>
      <w:lvlJc w:val="left"/>
      <w:pPr>
        <w:ind w:left="396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6" w:tplc="74EE688A">
      <w:start w:val="1"/>
      <w:numFmt w:val="decimal"/>
      <w:lvlText w:val="%7"/>
      <w:lvlJc w:val="left"/>
      <w:pPr>
        <w:ind w:left="468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7" w:tplc="FE1AD17A">
      <w:start w:val="1"/>
      <w:numFmt w:val="lowerLetter"/>
      <w:lvlText w:val="%8"/>
      <w:lvlJc w:val="left"/>
      <w:pPr>
        <w:ind w:left="540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8" w:tplc="CC7654FE">
      <w:start w:val="1"/>
      <w:numFmt w:val="lowerRoman"/>
      <w:lvlText w:val="%9"/>
      <w:lvlJc w:val="left"/>
      <w:pPr>
        <w:ind w:left="6120"/>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abstractNum>
  <w:abstractNum w:abstractNumId="2" w15:restartNumberingAfterBreak="0">
    <w:nsid w:val="17305323"/>
    <w:multiLevelType w:val="hybridMultilevel"/>
    <w:tmpl w:val="66F2EC7E"/>
    <w:lvl w:ilvl="0" w:tplc="26E8FF8E">
      <w:start w:val="1"/>
      <w:numFmt w:val="decimal"/>
      <w:lvlText w:val="%1"/>
      <w:lvlJc w:val="left"/>
      <w:pPr>
        <w:ind w:left="245"/>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1" w:tplc="7688D1C6">
      <w:start w:val="1"/>
      <w:numFmt w:val="lowerLetter"/>
      <w:lvlText w:val="%2"/>
      <w:lvlJc w:val="left"/>
      <w:pPr>
        <w:ind w:left="112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2" w:tplc="3C726F7E">
      <w:start w:val="1"/>
      <w:numFmt w:val="lowerRoman"/>
      <w:lvlText w:val="%3"/>
      <w:lvlJc w:val="left"/>
      <w:pPr>
        <w:ind w:left="184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3" w:tplc="A024F346">
      <w:start w:val="1"/>
      <w:numFmt w:val="decimal"/>
      <w:lvlText w:val="%4"/>
      <w:lvlJc w:val="left"/>
      <w:pPr>
        <w:ind w:left="256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4" w:tplc="8B828CC6">
      <w:start w:val="1"/>
      <w:numFmt w:val="lowerLetter"/>
      <w:lvlText w:val="%5"/>
      <w:lvlJc w:val="left"/>
      <w:pPr>
        <w:ind w:left="328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5" w:tplc="26A60F20">
      <w:start w:val="1"/>
      <w:numFmt w:val="lowerRoman"/>
      <w:lvlText w:val="%6"/>
      <w:lvlJc w:val="left"/>
      <w:pPr>
        <w:ind w:left="400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6" w:tplc="990E21CE">
      <w:start w:val="1"/>
      <w:numFmt w:val="decimal"/>
      <w:lvlText w:val="%7"/>
      <w:lvlJc w:val="left"/>
      <w:pPr>
        <w:ind w:left="472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7" w:tplc="4970CBD6">
      <w:start w:val="1"/>
      <w:numFmt w:val="lowerLetter"/>
      <w:lvlText w:val="%8"/>
      <w:lvlJc w:val="left"/>
      <w:pPr>
        <w:ind w:left="544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8" w:tplc="852430AE">
      <w:start w:val="1"/>
      <w:numFmt w:val="lowerRoman"/>
      <w:lvlText w:val="%9"/>
      <w:lvlJc w:val="left"/>
      <w:pPr>
        <w:ind w:left="6168"/>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abstractNum>
  <w:abstractNum w:abstractNumId="3" w15:restartNumberingAfterBreak="0">
    <w:nsid w:val="54411164"/>
    <w:multiLevelType w:val="hybridMultilevel"/>
    <w:tmpl w:val="94FE5EFA"/>
    <w:lvl w:ilvl="0" w:tplc="06C88E14">
      <w:start w:val="1"/>
      <w:numFmt w:val="lowerLetter"/>
      <w:lvlText w:val="%1)"/>
      <w:lvlJc w:val="left"/>
      <w:pPr>
        <w:ind w:left="397"/>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15E42698">
      <w:start w:val="1"/>
      <w:numFmt w:val="lowerLetter"/>
      <w:lvlText w:val="%2"/>
      <w:lvlJc w:val="left"/>
      <w:pPr>
        <w:ind w:left="124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0FE2AB98">
      <w:start w:val="1"/>
      <w:numFmt w:val="lowerRoman"/>
      <w:lvlText w:val="%3"/>
      <w:lvlJc w:val="left"/>
      <w:pPr>
        <w:ind w:left="196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95DA70F8">
      <w:start w:val="1"/>
      <w:numFmt w:val="decimal"/>
      <w:lvlText w:val="%4"/>
      <w:lvlJc w:val="left"/>
      <w:pPr>
        <w:ind w:left="268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7CC03F2E">
      <w:start w:val="1"/>
      <w:numFmt w:val="lowerLetter"/>
      <w:lvlText w:val="%5"/>
      <w:lvlJc w:val="left"/>
      <w:pPr>
        <w:ind w:left="340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13EEE3AC">
      <w:start w:val="1"/>
      <w:numFmt w:val="lowerRoman"/>
      <w:lvlText w:val="%6"/>
      <w:lvlJc w:val="left"/>
      <w:pPr>
        <w:ind w:left="412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C51C5152">
      <w:start w:val="1"/>
      <w:numFmt w:val="decimal"/>
      <w:lvlText w:val="%7"/>
      <w:lvlJc w:val="left"/>
      <w:pPr>
        <w:ind w:left="484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39586216">
      <w:start w:val="1"/>
      <w:numFmt w:val="lowerLetter"/>
      <w:lvlText w:val="%8"/>
      <w:lvlJc w:val="left"/>
      <w:pPr>
        <w:ind w:left="556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6CA6B28C">
      <w:start w:val="1"/>
      <w:numFmt w:val="lowerRoman"/>
      <w:lvlText w:val="%9"/>
      <w:lvlJc w:val="left"/>
      <w:pPr>
        <w:ind w:left="628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4" w15:restartNumberingAfterBreak="0">
    <w:nsid w:val="6DC74D44"/>
    <w:multiLevelType w:val="hybridMultilevel"/>
    <w:tmpl w:val="CADE274E"/>
    <w:lvl w:ilvl="0" w:tplc="4BA6B5AE">
      <w:start w:val="1"/>
      <w:numFmt w:val="lowerLetter"/>
      <w:lvlText w:val="%1)"/>
      <w:lvlJc w:val="left"/>
      <w:pPr>
        <w:ind w:left="39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6E80977E">
      <w:start w:val="1"/>
      <w:numFmt w:val="lowerLetter"/>
      <w:lvlText w:val="%2"/>
      <w:lvlJc w:val="left"/>
      <w:pPr>
        <w:ind w:left="124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45A8BE66">
      <w:start w:val="1"/>
      <w:numFmt w:val="lowerRoman"/>
      <w:lvlText w:val="%3"/>
      <w:lvlJc w:val="left"/>
      <w:pPr>
        <w:ind w:left="196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D5628990">
      <w:start w:val="1"/>
      <w:numFmt w:val="decimal"/>
      <w:lvlText w:val="%4"/>
      <w:lvlJc w:val="left"/>
      <w:pPr>
        <w:ind w:left="268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F7F63396">
      <w:start w:val="1"/>
      <w:numFmt w:val="lowerLetter"/>
      <w:lvlText w:val="%5"/>
      <w:lvlJc w:val="left"/>
      <w:pPr>
        <w:ind w:left="340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500E7C5A">
      <w:start w:val="1"/>
      <w:numFmt w:val="lowerRoman"/>
      <w:lvlText w:val="%6"/>
      <w:lvlJc w:val="left"/>
      <w:pPr>
        <w:ind w:left="412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0130F2DA">
      <w:start w:val="1"/>
      <w:numFmt w:val="decimal"/>
      <w:lvlText w:val="%7"/>
      <w:lvlJc w:val="left"/>
      <w:pPr>
        <w:ind w:left="484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565C9674">
      <w:start w:val="1"/>
      <w:numFmt w:val="lowerLetter"/>
      <w:lvlText w:val="%8"/>
      <w:lvlJc w:val="left"/>
      <w:pPr>
        <w:ind w:left="556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84CAB252">
      <w:start w:val="1"/>
      <w:numFmt w:val="lowerRoman"/>
      <w:lvlText w:val="%9"/>
      <w:lvlJc w:val="left"/>
      <w:pPr>
        <w:ind w:left="628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5" w15:restartNumberingAfterBreak="0">
    <w:nsid w:val="70164585"/>
    <w:multiLevelType w:val="hybridMultilevel"/>
    <w:tmpl w:val="84FC20B6"/>
    <w:lvl w:ilvl="0" w:tplc="327C38C6">
      <w:start w:val="15"/>
      <w:numFmt w:val="decimal"/>
      <w:lvlText w:val="%1"/>
      <w:lvlJc w:val="left"/>
      <w:pPr>
        <w:ind w:left="245"/>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1" w:tplc="871E22D4">
      <w:start w:val="1"/>
      <w:numFmt w:val="lowerLetter"/>
      <w:lvlText w:val="%2"/>
      <w:lvlJc w:val="left"/>
      <w:pPr>
        <w:ind w:left="108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2" w:tplc="8E2EF30C">
      <w:start w:val="1"/>
      <w:numFmt w:val="lowerRoman"/>
      <w:lvlText w:val="%3"/>
      <w:lvlJc w:val="left"/>
      <w:pPr>
        <w:ind w:left="180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3" w:tplc="929275E6">
      <w:start w:val="1"/>
      <w:numFmt w:val="decimal"/>
      <w:lvlText w:val="%4"/>
      <w:lvlJc w:val="left"/>
      <w:pPr>
        <w:ind w:left="252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4" w:tplc="8272DE18">
      <w:start w:val="1"/>
      <w:numFmt w:val="lowerLetter"/>
      <w:lvlText w:val="%5"/>
      <w:lvlJc w:val="left"/>
      <w:pPr>
        <w:ind w:left="324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5" w:tplc="F6E0B392">
      <w:start w:val="1"/>
      <w:numFmt w:val="lowerRoman"/>
      <w:lvlText w:val="%6"/>
      <w:lvlJc w:val="left"/>
      <w:pPr>
        <w:ind w:left="396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6" w:tplc="630645F8">
      <w:start w:val="1"/>
      <w:numFmt w:val="decimal"/>
      <w:lvlText w:val="%7"/>
      <w:lvlJc w:val="left"/>
      <w:pPr>
        <w:ind w:left="468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7" w:tplc="B414E436">
      <w:start w:val="1"/>
      <w:numFmt w:val="lowerLetter"/>
      <w:lvlText w:val="%8"/>
      <w:lvlJc w:val="left"/>
      <w:pPr>
        <w:ind w:left="540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lvl w:ilvl="8" w:tplc="695098C4">
      <w:start w:val="1"/>
      <w:numFmt w:val="lowerRoman"/>
      <w:lvlText w:val="%9"/>
      <w:lvlJc w:val="left"/>
      <w:pPr>
        <w:ind w:left="6120"/>
      </w:pPr>
      <w:rPr>
        <w:rFonts w:ascii="Calibri" w:eastAsia="Calibri" w:hAnsi="Calibri" w:cs="Calibri"/>
        <w:b w:val="0"/>
        <w:i w:val="0"/>
        <w:strike w:val="0"/>
        <w:dstrike w:val="0"/>
        <w:color w:val="000000"/>
        <w:sz w:val="15"/>
        <w:szCs w:val="15"/>
        <w:u w:val="none" w:color="000000"/>
        <w:bdr w:val="none" w:sz="0" w:space="0" w:color="auto"/>
        <w:shd w:val="clear" w:color="auto" w:fill="auto"/>
        <w:vertAlign w:val="baseline"/>
      </w:rPr>
    </w:lvl>
  </w:abstractNum>
  <w:num w:numId="1">
    <w:abstractNumId w:val="0"/>
  </w:num>
  <w:num w:numId="2">
    <w:abstractNumId w:val="4"/>
  </w:num>
  <w:num w:numId="3">
    <w:abstractNumId w:val="3"/>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7C3"/>
    <w:rsid w:val="001F0D6B"/>
    <w:rsid w:val="002733CD"/>
    <w:rsid w:val="00386F82"/>
    <w:rsid w:val="004720C3"/>
    <w:rsid w:val="0047773F"/>
    <w:rsid w:val="0055791E"/>
    <w:rsid w:val="008947C3"/>
    <w:rsid w:val="00C74C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FBE001-A93C-404B-AC5B-EEF1DEDDC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293" w:lineRule="auto"/>
      <w:ind w:left="105" w:hanging="10"/>
      <w:jc w:val="both"/>
    </w:pPr>
    <w:rPr>
      <w:rFonts w:ascii="Times New Roman" w:eastAsia="Times New Roman" w:hAnsi="Times New Roman" w:cs="Times New Roman"/>
      <w:color w:val="000000"/>
      <w:sz w:val="16"/>
    </w:rPr>
  </w:style>
  <w:style w:type="paragraph" w:styleId="Heading1">
    <w:name w:val="heading 1"/>
    <w:next w:val="Normal"/>
    <w:link w:val="Heading1Char"/>
    <w:uiPriority w:val="9"/>
    <w:unhideWhenUsed/>
    <w:qFormat/>
    <w:pPr>
      <w:keepNext/>
      <w:keepLines/>
      <w:spacing w:after="70"/>
      <w:ind w:left="105" w:hanging="10"/>
      <w:outlineLvl w:val="0"/>
    </w:pPr>
    <w:rPr>
      <w:rFonts w:ascii="Calibri" w:eastAsia="Calibri" w:hAnsi="Calibri" w:cs="Calibri"/>
      <w:color w:val="000000"/>
    </w:rPr>
  </w:style>
  <w:style w:type="paragraph" w:styleId="Heading2">
    <w:name w:val="heading 2"/>
    <w:next w:val="Normal"/>
    <w:link w:val="Heading2Char"/>
    <w:uiPriority w:val="9"/>
    <w:unhideWhenUsed/>
    <w:qFormat/>
    <w:pPr>
      <w:keepNext/>
      <w:keepLines/>
      <w:spacing w:after="123"/>
      <w:ind w:left="10" w:hanging="10"/>
      <w:outlineLvl w:val="1"/>
    </w:pPr>
    <w:rPr>
      <w:rFonts w:ascii="Calibri" w:eastAsia="Calibri" w:hAnsi="Calibri" w:cs="Calibri"/>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color w:val="000000"/>
      <w:sz w:val="18"/>
    </w:rPr>
  </w:style>
  <w:style w:type="character" w:customStyle="1" w:styleId="Heading1Char">
    <w:name w:val="Heading 1 Char"/>
    <w:link w:val="Heading1"/>
    <w:rPr>
      <w:rFonts w:ascii="Calibri" w:eastAsia="Calibri" w:hAnsi="Calibri" w:cs="Calibri"/>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4777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7773F"/>
    <w:rPr>
      <w:rFonts w:ascii="Times New Roman" w:eastAsia="Times New Roman" w:hAnsi="Times New Roman" w:cs="Times New Roman"/>
      <w:color w:val="000000"/>
      <w:sz w:val="16"/>
    </w:rPr>
  </w:style>
  <w:style w:type="paragraph" w:styleId="Footer">
    <w:name w:val="footer"/>
    <w:basedOn w:val="Normal"/>
    <w:link w:val="FooterChar"/>
    <w:uiPriority w:val="99"/>
    <w:semiHidden/>
    <w:unhideWhenUsed/>
    <w:rsid w:val="00C74C7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C74C74"/>
    <w:rPr>
      <w:rFonts w:ascii="Times New Roman" w:eastAsia="Times New Roman" w:hAnsi="Times New Roman" w:cs="Times New Roman"/>
      <w:color w:val="000000"/>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racgp.org.au/your-practice/guidelines/musculoskeletal/juvenileidiopathicarthritis/"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racgp.org.au/your-practice/guidelines/musculoskeletal/juvenileidiopathicarthriti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ihw.gov.au/juvenile-arthritis/what-i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aihw.gov.au/juvenile-arthritis/what-is/"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www.racgp.org.au/your-practice/guidelines/musculoskeletal/juvenileidiopathicarthrit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52C803D6</Template>
  <TotalTime>1</TotalTime>
  <Pages>5</Pages>
  <Words>4710</Words>
  <Characters>26851</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Prevalence, presentation and treatment of lower limb pathologies in juvenile idiopathic arthritis: a narrative review: N/A</vt:lpstr>
    </vt:vector>
  </TitlesOfParts>
  <Company>Queen Margaret University</Company>
  <LinksUpToDate>false</LinksUpToDate>
  <CharactersWithSpaces>31499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Prevalence, presentation and treatment of lower limb pathologies in juvenile idiopathic arthritis: a narrative review: N/A</dc:title>
  <dc:subject/>
  <dc:creator>Santos, Derek</dc:creator>
  <cp:keywords/>
  <cp:lastModifiedBy>Harvie, George</cp:lastModifiedBy>
  <cp:revision>2</cp:revision>
  <dcterms:created xsi:type="dcterms:W3CDTF">2018-07-30T14:04:00Z</dcterms:created>
  <dcterms:modified xsi:type="dcterms:W3CDTF">2018-07-30T14:04:00Z</dcterms:modified>
</cp:coreProperties>
</file>